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27" w:rsidRDefault="008C3727" w:rsidP="008C3727">
      <w:pPr>
        <w:jc w:val="center"/>
        <w:rPr>
          <w:rFonts w:ascii="Times New Roman" w:hAnsi="Times New Roman" w:cs="Times New Roman"/>
          <w:b/>
          <w:sz w:val="24"/>
          <w:szCs w:val="24"/>
        </w:rPr>
      </w:pPr>
      <w:r>
        <w:rPr>
          <w:rFonts w:ascii="Times New Roman" w:hAnsi="Times New Roman" w:cs="Times New Roman"/>
          <w:b/>
          <w:sz w:val="24"/>
          <w:szCs w:val="24"/>
        </w:rPr>
        <w:t>SUMMARY</w:t>
      </w:r>
    </w:p>
    <w:p w:rsidR="008C3727" w:rsidRPr="00CB2D60" w:rsidRDefault="008C3727" w:rsidP="008C3727">
      <w:pPr>
        <w:jc w:val="center"/>
        <w:rPr>
          <w:rFonts w:ascii="Times New Roman" w:hAnsi="Times New Roman" w:cs="Times New Roman"/>
          <w:b/>
          <w:sz w:val="24"/>
          <w:szCs w:val="24"/>
        </w:rPr>
      </w:pPr>
    </w:p>
    <w:p w:rsidR="008C3727" w:rsidRPr="00CB2D60" w:rsidRDefault="008C3727" w:rsidP="008C3727">
      <w:pPr>
        <w:pStyle w:val="NoSpacing"/>
        <w:rPr>
          <w:rFonts w:ascii="Times New Roman" w:hAnsi="Times New Roman" w:cs="Times New Roman"/>
          <w:b/>
          <w:sz w:val="24"/>
          <w:szCs w:val="24"/>
          <w:lang w:eastAsia="ko-KR"/>
        </w:rPr>
      </w:pPr>
      <w:proofErr w:type="spellStart"/>
      <w:r w:rsidRPr="00CB2D60">
        <w:rPr>
          <w:rFonts w:ascii="Times New Roman" w:hAnsi="Times New Roman" w:cs="Times New Roman"/>
          <w:b/>
          <w:sz w:val="24"/>
          <w:szCs w:val="24"/>
          <w:lang w:eastAsia="ko-KR"/>
        </w:rPr>
        <w:t>Nehnwaa</w:t>
      </w:r>
      <w:proofErr w:type="spellEnd"/>
      <w:r w:rsidRPr="00CB2D60">
        <w:rPr>
          <w:rFonts w:ascii="Times New Roman" w:hAnsi="Times New Roman" w:cs="Times New Roman"/>
          <w:b/>
          <w:sz w:val="24"/>
          <w:szCs w:val="24"/>
          <w:lang w:eastAsia="ko-KR"/>
        </w:rPr>
        <w:t xml:space="preserve"> </w:t>
      </w:r>
      <w:proofErr w:type="spellStart"/>
      <w:r w:rsidRPr="00CB2D60">
        <w:rPr>
          <w:rFonts w:ascii="Times New Roman" w:hAnsi="Times New Roman" w:cs="Times New Roman"/>
          <w:b/>
          <w:sz w:val="24"/>
          <w:szCs w:val="24"/>
          <w:lang w:eastAsia="ko-KR"/>
        </w:rPr>
        <w:t>Subnational</w:t>
      </w:r>
      <w:proofErr w:type="spellEnd"/>
      <w:r w:rsidRPr="00CB2D60">
        <w:rPr>
          <w:rFonts w:ascii="Times New Roman" w:hAnsi="Times New Roman" w:cs="Times New Roman"/>
          <w:b/>
          <w:sz w:val="24"/>
          <w:szCs w:val="24"/>
          <w:lang w:eastAsia="ko-KR"/>
        </w:rPr>
        <w:t xml:space="preserve"> Projection (2009-2013)</w:t>
      </w:r>
    </w:p>
    <w:p w:rsidR="008C3727" w:rsidRPr="00CB2D60" w:rsidRDefault="008C3727" w:rsidP="008C3727">
      <w:pPr>
        <w:pStyle w:val="NoSpacing"/>
        <w:jc w:val="center"/>
        <w:rPr>
          <w:rFonts w:ascii="Times New Roman" w:hAnsi="Times New Roman" w:cs="Times New Roman"/>
          <w:b/>
          <w:sz w:val="24"/>
          <w:szCs w:val="24"/>
          <w:lang w:eastAsia="ko-KR"/>
        </w:rPr>
      </w:pPr>
    </w:p>
    <w:tbl>
      <w:tblPr>
        <w:tblStyle w:val="TableGrid"/>
        <w:tblW w:w="0" w:type="auto"/>
        <w:tblLook w:val="04A0"/>
      </w:tblPr>
      <w:tblGrid>
        <w:gridCol w:w="846"/>
        <w:gridCol w:w="1134"/>
        <w:gridCol w:w="1134"/>
        <w:gridCol w:w="1176"/>
      </w:tblGrid>
      <w:tr w:rsidR="008C3727" w:rsidRPr="00CB2D60" w:rsidTr="00FD2A4B">
        <w:tc>
          <w:tcPr>
            <w:tcW w:w="846" w:type="dxa"/>
            <w:shd w:val="clear" w:color="auto" w:fill="F2F2F2" w:themeFill="background1" w:themeFillShade="F2"/>
            <w:vAlign w:val="center"/>
          </w:tcPr>
          <w:p w:rsidR="008C3727" w:rsidRPr="00CB2D60" w:rsidRDefault="008C3727" w:rsidP="00FD2A4B">
            <w:pPr>
              <w:pStyle w:val="NoSpacing"/>
              <w:jc w:val="center"/>
              <w:rPr>
                <w:rFonts w:ascii="Times New Roman" w:hAnsi="Times New Roman" w:cs="Times New Roman"/>
                <w:b/>
                <w:sz w:val="24"/>
                <w:szCs w:val="24"/>
                <w:lang w:eastAsia="ko-KR"/>
              </w:rPr>
            </w:pPr>
          </w:p>
        </w:tc>
        <w:tc>
          <w:tcPr>
            <w:tcW w:w="2268" w:type="dxa"/>
            <w:gridSpan w:val="2"/>
            <w:shd w:val="clear" w:color="auto" w:fill="F2F2F2" w:themeFill="background1" w:themeFillShade="F2"/>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Children under 5 yrs</w:t>
            </w:r>
          </w:p>
        </w:tc>
        <w:tc>
          <w:tcPr>
            <w:tcW w:w="1134" w:type="dxa"/>
            <w:shd w:val="clear" w:color="auto" w:fill="F2F2F2" w:themeFill="background1" w:themeFillShade="F2"/>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Maternal</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Year</w:t>
            </w:r>
          </w:p>
        </w:tc>
        <w:tc>
          <w:tcPr>
            <w:tcW w:w="1134" w:type="dxa"/>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&lt;1 month</w:t>
            </w:r>
          </w:p>
        </w:tc>
        <w:tc>
          <w:tcPr>
            <w:tcW w:w="1134" w:type="dxa"/>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1-59 months</w:t>
            </w:r>
          </w:p>
        </w:tc>
        <w:tc>
          <w:tcPr>
            <w:tcW w:w="1134" w:type="dxa"/>
            <w:vAlign w:val="center"/>
          </w:tcPr>
          <w:p w:rsidR="008C3727" w:rsidRPr="00CB2D60" w:rsidRDefault="008C3727" w:rsidP="00FD2A4B">
            <w:pPr>
              <w:pStyle w:val="NoSpacing"/>
              <w:jc w:val="center"/>
              <w:rPr>
                <w:rFonts w:ascii="Times New Roman" w:hAnsi="Times New Roman" w:cs="Times New Roman"/>
                <w:b/>
                <w:sz w:val="24"/>
                <w:szCs w:val="24"/>
                <w:lang w:eastAsia="ko-KR"/>
              </w:rPr>
            </w:pP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2009</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0</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0</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0</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2010</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1</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13</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0</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2011</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27</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0</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2012</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14</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55</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1</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2013</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25</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82</w:t>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3</w:t>
            </w:r>
          </w:p>
        </w:tc>
      </w:tr>
      <w:tr w:rsidR="008C3727" w:rsidRPr="00CB2D60" w:rsidTr="00FD2A4B">
        <w:tc>
          <w:tcPr>
            <w:tcW w:w="846"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fldChar w:fldCharType="begin"/>
            </w:r>
            <w:r w:rsidRPr="00CB2D60">
              <w:rPr>
                <w:rFonts w:ascii="Times New Roman" w:hAnsi="Times New Roman" w:cs="Times New Roman"/>
                <w:sz w:val="24"/>
                <w:szCs w:val="24"/>
                <w:lang w:eastAsia="ko-KR"/>
              </w:rPr>
              <w:instrText xml:space="preserve"> =SUM(ABOVE) </w:instrText>
            </w:r>
            <w:r w:rsidRPr="00CB2D60">
              <w:rPr>
                <w:rFonts w:ascii="Times New Roman" w:hAnsi="Times New Roman" w:cs="Times New Roman"/>
                <w:sz w:val="24"/>
                <w:szCs w:val="24"/>
                <w:lang w:eastAsia="ko-KR"/>
              </w:rPr>
              <w:fldChar w:fldCharType="separate"/>
            </w:r>
            <w:r w:rsidRPr="00CB2D60">
              <w:rPr>
                <w:rFonts w:ascii="Times New Roman" w:hAnsi="Times New Roman" w:cs="Times New Roman"/>
                <w:noProof/>
                <w:sz w:val="24"/>
                <w:szCs w:val="24"/>
                <w:lang w:eastAsia="ko-KR"/>
              </w:rPr>
              <w:t>42</w:t>
            </w:r>
            <w:r w:rsidRPr="00CB2D60">
              <w:rPr>
                <w:rFonts w:ascii="Times New Roman" w:hAnsi="Times New Roman" w:cs="Times New Roman"/>
                <w:sz w:val="24"/>
                <w:szCs w:val="24"/>
                <w:lang w:eastAsia="ko-KR"/>
              </w:rPr>
              <w:fldChar w:fldCharType="end"/>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fldChar w:fldCharType="begin"/>
            </w:r>
            <w:r w:rsidRPr="00CB2D60">
              <w:rPr>
                <w:rFonts w:ascii="Times New Roman" w:hAnsi="Times New Roman" w:cs="Times New Roman"/>
                <w:sz w:val="24"/>
                <w:szCs w:val="24"/>
                <w:lang w:eastAsia="ko-KR"/>
              </w:rPr>
              <w:instrText xml:space="preserve"> =SUM(ABOVE) </w:instrText>
            </w:r>
            <w:r w:rsidRPr="00CB2D60">
              <w:rPr>
                <w:rFonts w:ascii="Times New Roman" w:hAnsi="Times New Roman" w:cs="Times New Roman"/>
                <w:sz w:val="24"/>
                <w:szCs w:val="24"/>
                <w:lang w:eastAsia="ko-KR"/>
              </w:rPr>
              <w:fldChar w:fldCharType="separate"/>
            </w:r>
            <w:r w:rsidRPr="00CB2D60">
              <w:rPr>
                <w:rFonts w:ascii="Times New Roman" w:hAnsi="Times New Roman" w:cs="Times New Roman"/>
                <w:noProof/>
                <w:sz w:val="24"/>
                <w:szCs w:val="24"/>
                <w:lang w:eastAsia="ko-KR"/>
              </w:rPr>
              <w:t>177</w:t>
            </w:r>
            <w:r w:rsidRPr="00CB2D60">
              <w:rPr>
                <w:rFonts w:ascii="Times New Roman" w:hAnsi="Times New Roman" w:cs="Times New Roman"/>
                <w:sz w:val="24"/>
                <w:szCs w:val="24"/>
                <w:lang w:eastAsia="ko-KR"/>
              </w:rPr>
              <w:fldChar w:fldCharType="end"/>
            </w:r>
          </w:p>
        </w:tc>
        <w:tc>
          <w:tcPr>
            <w:tcW w:w="1134" w:type="dxa"/>
            <w:vAlign w:val="center"/>
          </w:tcPr>
          <w:p w:rsidR="008C3727" w:rsidRPr="00CB2D60" w:rsidRDefault="008C3727" w:rsidP="00FD2A4B">
            <w:pPr>
              <w:pStyle w:val="NoSpacing"/>
              <w:jc w:val="center"/>
              <w:rPr>
                <w:rFonts w:ascii="Times New Roman" w:hAnsi="Times New Roman" w:cs="Times New Roman"/>
                <w:sz w:val="24"/>
                <w:szCs w:val="24"/>
                <w:lang w:eastAsia="ko-KR"/>
              </w:rPr>
            </w:pPr>
            <w:r w:rsidRPr="00CB2D60">
              <w:rPr>
                <w:rFonts w:ascii="Times New Roman" w:hAnsi="Times New Roman" w:cs="Times New Roman"/>
                <w:sz w:val="24"/>
                <w:szCs w:val="24"/>
                <w:lang w:eastAsia="ko-KR"/>
              </w:rPr>
              <w:t>4</w:t>
            </w:r>
          </w:p>
        </w:tc>
      </w:tr>
      <w:tr w:rsidR="008C3727" w:rsidRPr="00CB2D60" w:rsidTr="00FD2A4B">
        <w:tc>
          <w:tcPr>
            <w:tcW w:w="846" w:type="dxa"/>
            <w:shd w:val="clear" w:color="auto" w:fill="F2F2F2" w:themeFill="background1" w:themeFillShade="F2"/>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Total</w:t>
            </w:r>
          </w:p>
        </w:tc>
        <w:tc>
          <w:tcPr>
            <w:tcW w:w="3402" w:type="dxa"/>
            <w:gridSpan w:val="3"/>
            <w:shd w:val="clear" w:color="auto" w:fill="F2F2F2" w:themeFill="background1" w:themeFillShade="F2"/>
            <w:vAlign w:val="center"/>
          </w:tcPr>
          <w:p w:rsidR="008C3727" w:rsidRPr="00CB2D60" w:rsidRDefault="008C3727" w:rsidP="00FD2A4B">
            <w:pPr>
              <w:pStyle w:val="NoSpacing"/>
              <w:jc w:val="center"/>
              <w:rPr>
                <w:rFonts w:ascii="Times New Roman" w:hAnsi="Times New Roman" w:cs="Times New Roman"/>
                <w:b/>
                <w:sz w:val="24"/>
                <w:szCs w:val="24"/>
                <w:lang w:eastAsia="ko-KR"/>
              </w:rPr>
            </w:pPr>
            <w:r w:rsidRPr="00CB2D60">
              <w:rPr>
                <w:rFonts w:ascii="Times New Roman" w:hAnsi="Times New Roman" w:cs="Times New Roman"/>
                <w:b/>
                <w:sz w:val="24"/>
                <w:szCs w:val="24"/>
                <w:lang w:eastAsia="ko-KR"/>
              </w:rPr>
              <w:t>223</w:t>
            </w:r>
          </w:p>
        </w:tc>
      </w:tr>
    </w:tbl>
    <w:p w:rsidR="008C3727" w:rsidRPr="00CB2D60" w:rsidRDefault="008C3727" w:rsidP="008C3727">
      <w:pPr>
        <w:rPr>
          <w:rFonts w:ascii="Times New Roman" w:hAnsi="Times New Roman" w:cs="Times New Roman"/>
          <w:sz w:val="24"/>
          <w:szCs w:val="24"/>
        </w:rPr>
      </w:pPr>
    </w:p>
    <w:p w:rsidR="008C3727" w:rsidRPr="00CB2D60" w:rsidRDefault="008C3727" w:rsidP="008C3727">
      <w:pPr>
        <w:pStyle w:val="NoSpacing"/>
        <w:numPr>
          <w:ilvl w:val="0"/>
          <w:numId w:val="10"/>
        </w:numPr>
        <w:rPr>
          <w:rFonts w:ascii="Times New Roman" w:hAnsi="Times New Roman" w:cs="Times New Roman"/>
          <w:sz w:val="24"/>
          <w:szCs w:val="24"/>
          <w:lang w:eastAsia="ko-KR"/>
        </w:rPr>
      </w:pPr>
      <w:r w:rsidRPr="00CB2D60">
        <w:rPr>
          <w:rFonts w:ascii="Times New Roman" w:hAnsi="Times New Roman" w:cs="Times New Roman"/>
          <w:sz w:val="24"/>
          <w:szCs w:val="24"/>
          <w:lang w:eastAsia="ko-KR"/>
        </w:rPr>
        <w:t xml:space="preserve">According to the data analysis from </w:t>
      </w:r>
      <w:proofErr w:type="spellStart"/>
      <w:r w:rsidRPr="00CB2D60">
        <w:rPr>
          <w:rFonts w:ascii="Times New Roman" w:hAnsi="Times New Roman" w:cs="Times New Roman"/>
          <w:sz w:val="24"/>
          <w:szCs w:val="24"/>
          <w:lang w:eastAsia="ko-KR"/>
        </w:rPr>
        <w:t>LiST</w:t>
      </w:r>
      <w:proofErr w:type="spellEnd"/>
      <w:r w:rsidRPr="00CB2D60">
        <w:rPr>
          <w:rFonts w:ascii="Times New Roman" w:hAnsi="Times New Roman" w:cs="Times New Roman"/>
          <w:sz w:val="24"/>
          <w:szCs w:val="24"/>
          <w:lang w:eastAsia="ko-KR"/>
        </w:rPr>
        <w:t xml:space="preserve">, it was found that the intervention of </w:t>
      </w:r>
      <w:r w:rsidRPr="00CB2D60">
        <w:rPr>
          <w:rFonts w:ascii="Times New Roman" w:hAnsi="Times New Roman" w:cs="Times New Roman"/>
          <w:sz w:val="24"/>
          <w:szCs w:val="24"/>
          <w:u w:val="single"/>
        </w:rPr>
        <w:t>ITN/IRS - Households protected from malaria</w:t>
      </w:r>
      <w:r w:rsidRPr="00CB2D60">
        <w:rPr>
          <w:rFonts w:ascii="Times New Roman" w:hAnsi="Times New Roman" w:cs="Times New Roman"/>
          <w:sz w:val="24"/>
          <w:szCs w:val="24"/>
          <w:lang w:eastAsia="ko-KR"/>
        </w:rPr>
        <w:t xml:space="preserve"> (31%) had the largest impact in preventing deaths in children under 5 years of age (0-60 months). </w:t>
      </w:r>
      <w:r w:rsidRPr="00CB2D60">
        <w:rPr>
          <w:rFonts w:ascii="Times New Roman" w:hAnsi="Times New Roman" w:cs="Times New Roman"/>
          <w:sz w:val="24"/>
          <w:szCs w:val="24"/>
          <w:u w:val="single"/>
          <w:lang w:eastAsia="ko-KR"/>
        </w:rPr>
        <w:t>Oral rehydration solution (ORS)</w:t>
      </w:r>
      <w:r w:rsidRPr="00CB2D60">
        <w:rPr>
          <w:rFonts w:ascii="Times New Roman" w:hAnsi="Times New Roman" w:cs="Times New Roman"/>
          <w:sz w:val="24"/>
          <w:szCs w:val="24"/>
          <w:lang w:eastAsia="ko-KR"/>
        </w:rPr>
        <w:t xml:space="preserve"> intervention had the second largest impact by taking 21% in preventing children’s lives.</w:t>
      </w:r>
    </w:p>
    <w:p w:rsidR="008C3727" w:rsidRPr="00CB2D60" w:rsidRDefault="008C3727" w:rsidP="008C3727">
      <w:pPr>
        <w:pStyle w:val="NoSpacing"/>
        <w:numPr>
          <w:ilvl w:val="0"/>
          <w:numId w:val="10"/>
        </w:numPr>
        <w:rPr>
          <w:rFonts w:ascii="Times New Roman" w:hAnsi="Times New Roman" w:cs="Times New Roman"/>
          <w:sz w:val="24"/>
          <w:szCs w:val="24"/>
          <w:lang w:eastAsia="ko-KR"/>
        </w:rPr>
      </w:pPr>
      <w:r w:rsidRPr="00CB2D60">
        <w:rPr>
          <w:rFonts w:ascii="Times New Roman" w:hAnsi="Times New Roman" w:cs="Times New Roman"/>
          <w:sz w:val="24"/>
          <w:szCs w:val="24"/>
          <w:lang w:eastAsia="ko-KR"/>
        </w:rPr>
        <w:t xml:space="preserve">According to the data analysis from </w:t>
      </w:r>
      <w:proofErr w:type="spellStart"/>
      <w:r w:rsidRPr="00CB2D60">
        <w:rPr>
          <w:rFonts w:ascii="Times New Roman" w:hAnsi="Times New Roman" w:cs="Times New Roman"/>
          <w:sz w:val="24"/>
          <w:szCs w:val="24"/>
          <w:lang w:eastAsia="ko-KR"/>
        </w:rPr>
        <w:t>LiST</w:t>
      </w:r>
      <w:proofErr w:type="spellEnd"/>
      <w:r w:rsidRPr="00CB2D60">
        <w:rPr>
          <w:rFonts w:ascii="Times New Roman" w:hAnsi="Times New Roman" w:cs="Times New Roman"/>
          <w:sz w:val="24"/>
          <w:szCs w:val="24"/>
          <w:lang w:eastAsia="ko-KR"/>
        </w:rPr>
        <w:t xml:space="preserve">, it was found that the intervention of </w:t>
      </w:r>
      <w:proofErr w:type="gramStart"/>
      <w:r w:rsidRPr="00CB2D60">
        <w:rPr>
          <w:rFonts w:ascii="Times New Roman" w:hAnsi="Times New Roman" w:cs="Times New Roman"/>
          <w:sz w:val="24"/>
          <w:szCs w:val="24"/>
          <w:u w:val="single"/>
          <w:lang w:eastAsia="ko-KR"/>
        </w:rPr>
        <w:t>Clean</w:t>
      </w:r>
      <w:proofErr w:type="gramEnd"/>
      <w:r w:rsidRPr="00CB2D60">
        <w:rPr>
          <w:rFonts w:ascii="Times New Roman" w:hAnsi="Times New Roman" w:cs="Times New Roman"/>
          <w:sz w:val="24"/>
          <w:szCs w:val="24"/>
          <w:u w:val="single"/>
          <w:lang w:eastAsia="ko-KR"/>
        </w:rPr>
        <w:t xml:space="preserve"> birth practices (78%)</w:t>
      </w:r>
      <w:r w:rsidRPr="00CB2D60">
        <w:rPr>
          <w:rFonts w:ascii="Times New Roman" w:hAnsi="Times New Roman" w:cs="Times New Roman"/>
          <w:sz w:val="24"/>
          <w:szCs w:val="24"/>
          <w:lang w:eastAsia="ko-KR"/>
        </w:rPr>
        <w:t xml:space="preserve"> had the largest impact in preventing maternal deaths in 2013.</w:t>
      </w:r>
    </w:p>
    <w:p w:rsidR="008C3727" w:rsidRPr="00CB2D60" w:rsidRDefault="008C3727" w:rsidP="008C3727">
      <w:pPr>
        <w:rPr>
          <w:rFonts w:ascii="Times New Roman" w:hAnsi="Times New Roman" w:cs="Times New Roman"/>
          <w:sz w:val="24"/>
          <w:szCs w:val="24"/>
        </w:rPr>
      </w:pPr>
    </w:p>
    <w:p w:rsidR="008C3727" w:rsidRPr="00CB2D60" w:rsidRDefault="008C3727" w:rsidP="008C3727">
      <w:pPr>
        <w:rPr>
          <w:rFonts w:ascii="Times New Roman" w:hAnsi="Times New Roman" w:cs="Times New Roman"/>
          <w:sz w:val="24"/>
          <w:szCs w:val="24"/>
        </w:rPr>
      </w:pPr>
      <w:r w:rsidRPr="00CB2D60">
        <w:rPr>
          <w:rFonts w:ascii="Times New Roman" w:hAnsi="Times New Roman" w:cs="Times New Roman"/>
          <w:sz w:val="24"/>
          <w:szCs w:val="24"/>
        </w:rPr>
        <w:t xml:space="preserve">Difference in intervention impact National VS. </w:t>
      </w:r>
      <w:proofErr w:type="spellStart"/>
      <w:r w:rsidRPr="00CB2D60">
        <w:rPr>
          <w:rFonts w:ascii="Times New Roman" w:hAnsi="Times New Roman" w:cs="Times New Roman"/>
          <w:sz w:val="24"/>
          <w:szCs w:val="24"/>
        </w:rPr>
        <w:t>Subnational</w:t>
      </w:r>
      <w:proofErr w:type="spellEnd"/>
    </w:p>
    <w:p w:rsidR="008C3727" w:rsidRPr="00CB2D60" w:rsidRDefault="008C3727" w:rsidP="008C3727">
      <w:pPr>
        <w:pStyle w:val="NoSpacing"/>
        <w:rPr>
          <w:rFonts w:ascii="Times New Roman" w:hAnsi="Times New Roman" w:cs="Times New Roman"/>
          <w:sz w:val="24"/>
          <w:szCs w:val="24"/>
          <w:lang w:eastAsia="ko-KR"/>
        </w:rPr>
      </w:pPr>
      <w:r w:rsidRPr="00CB2D60">
        <w:rPr>
          <w:rFonts w:ascii="Times New Roman" w:hAnsi="Times New Roman" w:cs="Times New Roman"/>
          <w:sz w:val="24"/>
          <w:szCs w:val="24"/>
          <w:lang w:eastAsia="ko-KR"/>
        </w:rPr>
        <w:t>1. Children</w:t>
      </w:r>
      <w:r w:rsidRPr="00CB2D60">
        <w:rPr>
          <w:rFonts w:ascii="Times New Roman" w:hAnsi="Times New Roman" w:cs="Times New Roman"/>
          <w:noProof/>
          <w:sz w:val="24"/>
          <w:szCs w:val="24"/>
          <w:u w:val="single"/>
        </w:rPr>
        <w:drawing>
          <wp:inline distT="0" distB="0" distL="0" distR="0">
            <wp:extent cx="5681663" cy="27051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3727" w:rsidRPr="00CB2D60" w:rsidRDefault="008C3727" w:rsidP="008C3727">
      <w:pPr>
        <w:pStyle w:val="NoSpacing"/>
        <w:rPr>
          <w:rFonts w:ascii="Times New Roman" w:hAnsi="Times New Roman" w:cs="Times New Roman"/>
          <w:sz w:val="24"/>
          <w:szCs w:val="24"/>
          <w:lang w:eastAsia="ko-KR"/>
        </w:rPr>
      </w:pPr>
    </w:p>
    <w:p w:rsidR="008C3727" w:rsidRPr="00CB2D60" w:rsidRDefault="008C3727" w:rsidP="008C3727">
      <w:pPr>
        <w:pStyle w:val="NoSpacing"/>
        <w:rPr>
          <w:rFonts w:ascii="Times New Roman" w:hAnsi="Times New Roman" w:cs="Times New Roman"/>
          <w:sz w:val="24"/>
          <w:szCs w:val="24"/>
          <w:lang w:eastAsia="ko-KR"/>
        </w:rPr>
      </w:pPr>
    </w:p>
    <w:p w:rsidR="008C3727" w:rsidRPr="00CB2D60" w:rsidRDefault="008C3727" w:rsidP="008C3727">
      <w:pPr>
        <w:pStyle w:val="NoSpacing"/>
        <w:rPr>
          <w:rFonts w:ascii="Times New Roman" w:hAnsi="Times New Roman" w:cs="Times New Roman"/>
          <w:sz w:val="24"/>
          <w:szCs w:val="24"/>
          <w:lang w:eastAsia="ko-KR"/>
        </w:rPr>
      </w:pPr>
    </w:p>
    <w:p w:rsidR="008C3727" w:rsidRDefault="008C3727" w:rsidP="008C3727">
      <w:pPr>
        <w:pStyle w:val="NoSpacing"/>
        <w:rPr>
          <w:rFonts w:ascii="Times New Roman" w:hAnsi="Times New Roman" w:cs="Times New Roman"/>
          <w:sz w:val="24"/>
          <w:szCs w:val="24"/>
          <w:lang w:eastAsia="ko-KR"/>
        </w:rPr>
      </w:pPr>
    </w:p>
    <w:p w:rsidR="008C3727" w:rsidRPr="00CB2D60" w:rsidRDefault="008C3727" w:rsidP="008C3727">
      <w:pPr>
        <w:pStyle w:val="NoSpacing"/>
        <w:rPr>
          <w:rFonts w:ascii="Times New Roman" w:hAnsi="Times New Roman" w:cs="Times New Roman"/>
          <w:sz w:val="24"/>
          <w:szCs w:val="24"/>
          <w:lang w:eastAsia="ko-KR"/>
        </w:rPr>
      </w:pPr>
      <w:r w:rsidRPr="00CB2D60">
        <w:rPr>
          <w:rFonts w:ascii="Times New Roman" w:hAnsi="Times New Roman" w:cs="Times New Roman"/>
          <w:sz w:val="24"/>
          <w:szCs w:val="24"/>
          <w:lang w:eastAsia="ko-KR"/>
        </w:rPr>
        <w:t>2. Maternal</w:t>
      </w:r>
    </w:p>
    <w:p w:rsidR="008C3727" w:rsidRPr="00CB2D60" w:rsidRDefault="008C3727" w:rsidP="008C3727">
      <w:pPr>
        <w:pStyle w:val="NoSpacing"/>
        <w:rPr>
          <w:rFonts w:ascii="Times New Roman" w:hAnsi="Times New Roman" w:cs="Times New Roman"/>
          <w:sz w:val="24"/>
          <w:szCs w:val="24"/>
          <w:lang w:eastAsia="ko-KR"/>
        </w:rPr>
      </w:pPr>
      <w:r w:rsidRPr="00CB2D60">
        <w:rPr>
          <w:rFonts w:ascii="Times New Roman" w:hAnsi="Times New Roman" w:cs="Times New Roman"/>
          <w:noProof/>
          <w:sz w:val="24"/>
          <w:szCs w:val="24"/>
        </w:rPr>
        <w:drawing>
          <wp:inline distT="0" distB="0" distL="0" distR="0">
            <wp:extent cx="5731510" cy="2466279"/>
            <wp:effectExtent l="0" t="0" r="254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3727" w:rsidRPr="00CB2D60" w:rsidRDefault="008C3727" w:rsidP="008C3727">
      <w:pPr>
        <w:pStyle w:val="NoSpacing"/>
        <w:numPr>
          <w:ilvl w:val="0"/>
          <w:numId w:val="12"/>
        </w:numPr>
        <w:rPr>
          <w:rFonts w:ascii="Times New Roman" w:hAnsi="Times New Roman" w:cs="Times New Roman"/>
          <w:sz w:val="24"/>
          <w:szCs w:val="24"/>
          <w:u w:val="single"/>
        </w:rPr>
      </w:pPr>
      <w:r w:rsidRPr="00CB2D60">
        <w:rPr>
          <w:rFonts w:ascii="Times New Roman" w:hAnsi="Times New Roman" w:cs="Times New Roman"/>
          <w:sz w:val="24"/>
          <w:szCs w:val="24"/>
          <w:lang w:eastAsia="ko-KR"/>
        </w:rPr>
        <w:t xml:space="preserve">It is worth noticing that there are remarkable difference between national and </w:t>
      </w:r>
      <w:proofErr w:type="spellStart"/>
      <w:r w:rsidRPr="00CB2D60">
        <w:rPr>
          <w:rFonts w:ascii="Times New Roman" w:hAnsi="Times New Roman" w:cs="Times New Roman"/>
          <w:sz w:val="24"/>
          <w:szCs w:val="24"/>
          <w:lang w:eastAsia="ko-KR"/>
        </w:rPr>
        <w:t>subnational</w:t>
      </w:r>
      <w:proofErr w:type="spellEnd"/>
      <w:r w:rsidRPr="00CB2D60">
        <w:rPr>
          <w:rFonts w:ascii="Times New Roman" w:hAnsi="Times New Roman" w:cs="Times New Roman"/>
          <w:sz w:val="24"/>
          <w:szCs w:val="24"/>
          <w:lang w:eastAsia="ko-KR"/>
        </w:rPr>
        <w:t xml:space="preserve"> </w:t>
      </w:r>
      <w:proofErr w:type="spellStart"/>
      <w:r w:rsidRPr="00CB2D60">
        <w:rPr>
          <w:rFonts w:ascii="Times New Roman" w:hAnsi="Times New Roman" w:cs="Times New Roman"/>
          <w:sz w:val="24"/>
          <w:szCs w:val="24"/>
          <w:lang w:eastAsia="ko-KR"/>
        </w:rPr>
        <w:t>coverages</w:t>
      </w:r>
      <w:proofErr w:type="spellEnd"/>
      <w:r w:rsidRPr="00CB2D60">
        <w:rPr>
          <w:rFonts w:ascii="Times New Roman" w:hAnsi="Times New Roman" w:cs="Times New Roman"/>
          <w:sz w:val="24"/>
          <w:szCs w:val="24"/>
          <w:lang w:eastAsia="ko-KR"/>
        </w:rPr>
        <w:t xml:space="preserve"> levels for interventions of clean birth practice and labor &amp; delivery. Such outcome might be due to lack of </w:t>
      </w:r>
      <w:proofErr w:type="spellStart"/>
      <w:r w:rsidRPr="00CB2D60">
        <w:rPr>
          <w:rFonts w:ascii="Times New Roman" w:hAnsi="Times New Roman" w:cs="Times New Roman"/>
          <w:sz w:val="24"/>
          <w:szCs w:val="24"/>
          <w:lang w:eastAsia="ko-KR"/>
        </w:rPr>
        <w:t>subnational</w:t>
      </w:r>
      <w:proofErr w:type="spellEnd"/>
      <w:r w:rsidRPr="00CB2D60">
        <w:rPr>
          <w:rFonts w:ascii="Times New Roman" w:hAnsi="Times New Roman" w:cs="Times New Roman"/>
          <w:sz w:val="24"/>
          <w:szCs w:val="24"/>
          <w:lang w:eastAsia="ko-KR"/>
        </w:rPr>
        <w:t xml:space="preserve"> coverage data for certain interventions.</w:t>
      </w:r>
    </w:p>
    <w:p w:rsidR="008C3727" w:rsidRPr="00CB2D60" w:rsidRDefault="008C3727" w:rsidP="008C3727">
      <w:pPr>
        <w:pStyle w:val="NoSpacing"/>
        <w:rPr>
          <w:rFonts w:ascii="Times New Roman" w:hAnsi="Times New Roman" w:cs="Times New Roman"/>
          <w:sz w:val="24"/>
          <w:szCs w:val="24"/>
          <w:u w:val="single"/>
        </w:rPr>
      </w:pPr>
    </w:p>
    <w:p w:rsidR="008C3727" w:rsidRPr="00CB2D60" w:rsidRDefault="008C3727" w:rsidP="008C3727">
      <w:pPr>
        <w:pStyle w:val="NoSpacing"/>
        <w:rPr>
          <w:rFonts w:ascii="Times New Roman" w:hAnsi="Times New Roman" w:cs="Times New Roman"/>
          <w:sz w:val="24"/>
          <w:szCs w:val="24"/>
          <w:u w:val="single"/>
        </w:rPr>
      </w:pPr>
      <w:r w:rsidRPr="00CB2D60">
        <w:rPr>
          <w:rFonts w:ascii="Times New Roman" w:hAnsi="Times New Roman" w:cs="Times New Roman"/>
          <w:sz w:val="24"/>
          <w:szCs w:val="24"/>
          <w:u w:val="single"/>
        </w:rPr>
        <w:t>LIMITATION &amp; CONCLUSION</w:t>
      </w:r>
    </w:p>
    <w:p w:rsidR="008C3727" w:rsidRPr="00CB2D60" w:rsidRDefault="008C3727" w:rsidP="008C3727">
      <w:pPr>
        <w:pStyle w:val="NoSpacing"/>
        <w:numPr>
          <w:ilvl w:val="0"/>
          <w:numId w:val="12"/>
        </w:numPr>
        <w:rPr>
          <w:rFonts w:ascii="Times New Roman" w:hAnsi="Times New Roman" w:cs="Times New Roman"/>
          <w:sz w:val="24"/>
          <w:szCs w:val="24"/>
          <w:u w:val="single"/>
        </w:rPr>
      </w:pPr>
      <w:r w:rsidRPr="00CB2D60">
        <w:rPr>
          <w:rFonts w:ascii="Times New Roman" w:hAnsi="Times New Roman" w:cs="Times New Roman"/>
          <w:sz w:val="24"/>
          <w:szCs w:val="24"/>
        </w:rPr>
        <w:t xml:space="preserve">Lack of availability of data source in </w:t>
      </w:r>
      <w:proofErr w:type="spellStart"/>
      <w:r w:rsidRPr="00CB2D60">
        <w:rPr>
          <w:rFonts w:ascii="Times New Roman" w:hAnsi="Times New Roman" w:cs="Times New Roman"/>
          <w:sz w:val="24"/>
          <w:szCs w:val="24"/>
        </w:rPr>
        <w:t>subnational</w:t>
      </w:r>
      <w:proofErr w:type="spellEnd"/>
      <w:r w:rsidRPr="00CB2D60">
        <w:rPr>
          <w:rFonts w:ascii="Times New Roman" w:hAnsi="Times New Roman" w:cs="Times New Roman"/>
          <w:sz w:val="24"/>
          <w:szCs w:val="24"/>
        </w:rPr>
        <w:t xml:space="preserve"> level.</w:t>
      </w:r>
    </w:p>
    <w:p w:rsidR="008C3727" w:rsidRPr="00CB2D60" w:rsidRDefault="008C3727" w:rsidP="008C3727">
      <w:pPr>
        <w:pStyle w:val="NoSpacing"/>
        <w:numPr>
          <w:ilvl w:val="0"/>
          <w:numId w:val="12"/>
        </w:numPr>
        <w:rPr>
          <w:rFonts w:ascii="Times New Roman" w:hAnsi="Times New Roman" w:cs="Times New Roman"/>
          <w:sz w:val="24"/>
          <w:szCs w:val="24"/>
          <w:u w:val="single"/>
        </w:rPr>
      </w:pPr>
      <w:r w:rsidRPr="00CB2D60">
        <w:rPr>
          <w:rFonts w:ascii="Times New Roman" w:hAnsi="Times New Roman" w:cs="Times New Roman"/>
          <w:sz w:val="24"/>
          <w:szCs w:val="24"/>
        </w:rPr>
        <w:t>Available data on some of project indicators which were selected by the project researchers are not included in default data in the system.</w:t>
      </w:r>
      <w:r w:rsidRPr="00CB2D60">
        <w:rPr>
          <w:rFonts w:ascii="Times New Roman" w:hAnsi="Times New Roman" w:cs="Times New Roman"/>
          <w:sz w:val="24"/>
          <w:szCs w:val="24"/>
          <w:lang w:eastAsia="ko-KR"/>
        </w:rPr>
        <w:t xml:space="preserve"> </w:t>
      </w:r>
      <w:r w:rsidRPr="00CB2D60">
        <w:rPr>
          <w:rFonts w:ascii="Times New Roman" w:hAnsi="Times New Roman" w:cs="Times New Roman"/>
          <w:sz w:val="24"/>
          <w:szCs w:val="24"/>
        </w:rPr>
        <w:t xml:space="preserve">Thus, </w:t>
      </w:r>
      <w:proofErr w:type="spellStart"/>
      <w:r w:rsidRPr="00CB2D60">
        <w:rPr>
          <w:rFonts w:ascii="Times New Roman" w:hAnsi="Times New Roman" w:cs="Times New Roman"/>
          <w:sz w:val="24"/>
          <w:szCs w:val="24"/>
        </w:rPr>
        <w:t>subnational</w:t>
      </w:r>
      <w:proofErr w:type="spellEnd"/>
      <w:r w:rsidRPr="00CB2D60">
        <w:rPr>
          <w:rFonts w:ascii="Times New Roman" w:hAnsi="Times New Roman" w:cs="Times New Roman"/>
          <w:sz w:val="24"/>
          <w:szCs w:val="24"/>
        </w:rPr>
        <w:t xml:space="preserve"> projection through </w:t>
      </w:r>
      <w:proofErr w:type="spellStart"/>
      <w:r w:rsidRPr="00CB2D60">
        <w:rPr>
          <w:rFonts w:ascii="Times New Roman" w:hAnsi="Times New Roman" w:cs="Times New Roman"/>
          <w:sz w:val="24"/>
          <w:szCs w:val="24"/>
        </w:rPr>
        <w:t>LiST</w:t>
      </w:r>
      <w:proofErr w:type="spellEnd"/>
      <w:r w:rsidRPr="00CB2D60">
        <w:rPr>
          <w:rFonts w:ascii="Times New Roman" w:hAnsi="Times New Roman" w:cs="Times New Roman"/>
          <w:sz w:val="24"/>
          <w:szCs w:val="24"/>
        </w:rPr>
        <w:t xml:space="preserve"> cannot be conducted</w:t>
      </w:r>
    </w:p>
    <w:p w:rsidR="008C3727" w:rsidRPr="00CB2D60" w:rsidRDefault="008C3727" w:rsidP="008C3727">
      <w:pPr>
        <w:pStyle w:val="NoSpacing"/>
        <w:numPr>
          <w:ilvl w:val="0"/>
          <w:numId w:val="12"/>
        </w:numPr>
        <w:rPr>
          <w:rFonts w:ascii="Times New Roman" w:hAnsi="Times New Roman" w:cs="Times New Roman"/>
          <w:sz w:val="24"/>
          <w:szCs w:val="24"/>
          <w:u w:val="single"/>
        </w:rPr>
      </w:pPr>
      <w:r w:rsidRPr="00CB2D60">
        <w:rPr>
          <w:rFonts w:ascii="Times New Roman" w:hAnsi="Times New Roman" w:cs="Times New Roman"/>
          <w:sz w:val="24"/>
          <w:szCs w:val="24"/>
        </w:rPr>
        <w:t xml:space="preserve">It is safe to conclude that the intervention of </w:t>
      </w:r>
      <w:r w:rsidRPr="00CB2D60">
        <w:rPr>
          <w:rFonts w:ascii="Times New Roman" w:hAnsi="Times New Roman" w:cs="Times New Roman"/>
          <w:sz w:val="24"/>
          <w:szCs w:val="24"/>
          <w:lang w:eastAsia="ko-KR"/>
        </w:rPr>
        <w:t xml:space="preserve">ITN/IRS uses and clean birth practice had considerable impact in saving lives of </w:t>
      </w:r>
      <w:proofErr w:type="spellStart"/>
      <w:r w:rsidRPr="00CB2D60">
        <w:rPr>
          <w:rFonts w:ascii="Times New Roman" w:hAnsi="Times New Roman" w:cs="Times New Roman"/>
          <w:sz w:val="24"/>
          <w:szCs w:val="24"/>
          <w:lang w:eastAsia="ko-KR"/>
        </w:rPr>
        <w:t>Nimba</w:t>
      </w:r>
      <w:proofErr w:type="spellEnd"/>
      <w:r w:rsidRPr="00CB2D60">
        <w:rPr>
          <w:rFonts w:ascii="Times New Roman" w:hAnsi="Times New Roman" w:cs="Times New Roman"/>
          <w:sz w:val="24"/>
          <w:szCs w:val="24"/>
          <w:lang w:eastAsia="ko-KR"/>
        </w:rPr>
        <w:t xml:space="preserve"> County’s children and mothers, respectively and saving total 223 lives (minimum).</w:t>
      </w:r>
    </w:p>
    <w:p w:rsidR="008C3727" w:rsidRPr="00CB2D60" w:rsidRDefault="008C3727" w:rsidP="008C3727">
      <w:pPr>
        <w:pStyle w:val="NoSpacing"/>
        <w:rPr>
          <w:rFonts w:ascii="Times New Roman" w:hAnsi="Times New Roman" w:cs="Times New Roman"/>
          <w:sz w:val="24"/>
          <w:szCs w:val="24"/>
          <w:lang w:eastAsia="ko-KR"/>
        </w:rPr>
      </w:pPr>
    </w:p>
    <w:p w:rsidR="008C3727" w:rsidRPr="00CB2D60" w:rsidRDefault="008C3727" w:rsidP="008C3727">
      <w:pPr>
        <w:pStyle w:val="NoSpacing"/>
        <w:rPr>
          <w:rFonts w:ascii="Times New Roman" w:hAnsi="Times New Roman" w:cs="Times New Roman"/>
          <w:sz w:val="24"/>
          <w:szCs w:val="24"/>
          <w:u w:val="single"/>
          <w:lang w:eastAsia="ko-KR"/>
        </w:rPr>
      </w:pPr>
      <w:r w:rsidRPr="00CB2D60">
        <w:rPr>
          <w:rFonts w:ascii="Times New Roman" w:hAnsi="Times New Roman" w:cs="Times New Roman"/>
          <w:sz w:val="24"/>
          <w:szCs w:val="24"/>
          <w:u w:val="single"/>
          <w:lang w:eastAsia="ko-KR"/>
        </w:rPr>
        <w:t>SUGGESTIONS</w:t>
      </w:r>
    </w:p>
    <w:p w:rsidR="008C3727" w:rsidRPr="00CB2D60" w:rsidRDefault="008C3727" w:rsidP="008C3727">
      <w:pPr>
        <w:pStyle w:val="NoSpacing"/>
        <w:numPr>
          <w:ilvl w:val="0"/>
          <w:numId w:val="14"/>
        </w:numPr>
        <w:rPr>
          <w:rFonts w:ascii="Times New Roman" w:hAnsi="Times New Roman" w:cs="Times New Roman"/>
          <w:sz w:val="24"/>
          <w:szCs w:val="24"/>
          <w:lang w:eastAsia="ko-KR"/>
        </w:rPr>
      </w:pPr>
      <w:r>
        <w:rPr>
          <w:rFonts w:ascii="Times New Roman" w:hAnsi="Times New Roman" w:cs="Times New Roman"/>
          <w:sz w:val="24"/>
          <w:szCs w:val="24"/>
          <w:lang w:eastAsia="ko-KR"/>
        </w:rPr>
        <w:t>I</w:t>
      </w:r>
      <w:r>
        <w:rPr>
          <w:rFonts w:ascii="Times New Roman" w:hAnsi="Times New Roman" w:cs="Times New Roman" w:hint="eastAsia"/>
          <w:sz w:val="24"/>
          <w:szCs w:val="24"/>
          <w:lang w:eastAsia="ko-KR"/>
        </w:rPr>
        <w:t xml:space="preserve">t might be worth keep the track of </w:t>
      </w:r>
      <w:r>
        <w:rPr>
          <w:rFonts w:ascii="Times New Roman" w:hAnsi="Times New Roman" w:cs="Times New Roman"/>
          <w:sz w:val="24"/>
          <w:szCs w:val="24"/>
          <w:lang w:eastAsia="ko-KR"/>
        </w:rPr>
        <w:t xml:space="preserve">national projections for each technical </w:t>
      </w:r>
      <w:proofErr w:type="gramStart"/>
      <w:r>
        <w:rPr>
          <w:rFonts w:ascii="Times New Roman" w:hAnsi="Times New Roman" w:cs="Times New Roman"/>
          <w:sz w:val="24"/>
          <w:szCs w:val="24"/>
          <w:lang w:eastAsia="ko-KR"/>
        </w:rPr>
        <w:t>projects</w:t>
      </w:r>
      <w:proofErr w:type="gramEnd"/>
      <w:r>
        <w:rPr>
          <w:rFonts w:ascii="Times New Roman" w:hAnsi="Times New Roman" w:cs="Times New Roman"/>
          <w:sz w:val="24"/>
          <w:szCs w:val="24"/>
          <w:lang w:eastAsia="ko-KR"/>
        </w:rPr>
        <w:t xml:space="preserve"> implemented in </w:t>
      </w:r>
      <w:proofErr w:type="spellStart"/>
      <w:r>
        <w:rPr>
          <w:rFonts w:ascii="Times New Roman" w:hAnsi="Times New Roman" w:cs="Times New Roman"/>
          <w:sz w:val="24"/>
          <w:szCs w:val="24"/>
          <w:lang w:eastAsia="ko-KR"/>
        </w:rPr>
        <w:t>Curamericas</w:t>
      </w:r>
      <w:proofErr w:type="spellEnd"/>
      <w:r>
        <w:rPr>
          <w:rFonts w:ascii="Times New Roman" w:hAnsi="Times New Roman" w:cs="Times New Roman"/>
          <w:sz w:val="24"/>
          <w:szCs w:val="24"/>
          <w:lang w:eastAsia="ko-KR"/>
        </w:rPr>
        <w:t xml:space="preserve"> Global. Although limitation of data in </w:t>
      </w:r>
      <w:proofErr w:type="spellStart"/>
      <w:r>
        <w:rPr>
          <w:rFonts w:ascii="Times New Roman" w:hAnsi="Times New Roman" w:cs="Times New Roman"/>
          <w:sz w:val="24"/>
          <w:szCs w:val="24"/>
          <w:lang w:eastAsia="ko-KR"/>
        </w:rPr>
        <w:t>subnational</w:t>
      </w:r>
      <w:proofErr w:type="spellEnd"/>
      <w:r>
        <w:rPr>
          <w:rFonts w:ascii="Times New Roman" w:hAnsi="Times New Roman" w:cs="Times New Roman"/>
          <w:sz w:val="24"/>
          <w:szCs w:val="24"/>
          <w:lang w:eastAsia="ko-KR"/>
        </w:rPr>
        <w:t xml:space="preserve"> level is predicted, it can be useful to understand which interventions had the most impact for each project sites (in national level) and later compare to see if the project site showed similar trend in terms of intervention impact.</w:t>
      </w: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8C3727" w:rsidRDefault="008C3727" w:rsidP="00B263FB">
      <w:pPr>
        <w:pStyle w:val="NoSpacing"/>
        <w:rPr>
          <w:rFonts w:ascii="Times New Roman" w:hAnsi="Times New Roman" w:cs="Times New Roman"/>
          <w:sz w:val="24"/>
          <w:szCs w:val="24"/>
          <w:u w:val="single"/>
        </w:rPr>
      </w:pPr>
    </w:p>
    <w:p w:rsidR="00DE47EF" w:rsidRPr="00E9250F" w:rsidRDefault="00CB02E9" w:rsidP="00B263FB">
      <w:pPr>
        <w:pStyle w:val="NoSpacing"/>
        <w:rPr>
          <w:rFonts w:ascii="Times New Roman" w:hAnsi="Times New Roman" w:cs="Times New Roman"/>
          <w:sz w:val="24"/>
          <w:szCs w:val="24"/>
          <w:u w:val="single"/>
        </w:rPr>
      </w:pPr>
      <w:r w:rsidRPr="00E9250F">
        <w:rPr>
          <w:rFonts w:ascii="Times New Roman" w:hAnsi="Times New Roman" w:cs="Times New Roman"/>
          <w:sz w:val="24"/>
          <w:szCs w:val="24"/>
          <w:u w:val="single"/>
        </w:rPr>
        <w:lastRenderedPageBreak/>
        <w:t xml:space="preserve">                                                                                                                                                                                         </w:t>
      </w:r>
      <w:r w:rsidR="00DE47EF" w:rsidRPr="00E9250F">
        <w:rPr>
          <w:rFonts w:ascii="Times New Roman" w:hAnsi="Times New Roman" w:cs="Times New Roman"/>
          <w:sz w:val="24"/>
          <w:szCs w:val="24"/>
          <w:u w:val="single"/>
        </w:rPr>
        <w:t>INTRODUCTIO</w:t>
      </w:r>
      <w:r w:rsidR="00230507" w:rsidRPr="00E9250F">
        <w:rPr>
          <w:rFonts w:ascii="Times New Roman" w:hAnsi="Times New Roman" w:cs="Times New Roman"/>
          <w:sz w:val="24"/>
          <w:szCs w:val="24"/>
          <w:u w:val="single"/>
        </w:rPr>
        <w:t>N</w:t>
      </w:r>
    </w:p>
    <w:p w:rsidR="00B263FB" w:rsidRPr="00E9250F" w:rsidRDefault="00B263FB" w:rsidP="008775B0">
      <w:pPr>
        <w:pStyle w:val="NoSpacing"/>
        <w:ind w:firstLine="720"/>
        <w:rPr>
          <w:rFonts w:ascii="Times New Roman" w:hAnsi="Times New Roman" w:cs="Times New Roman"/>
          <w:sz w:val="24"/>
          <w:szCs w:val="24"/>
        </w:rPr>
      </w:pPr>
      <w:r w:rsidRPr="00E9250F">
        <w:rPr>
          <w:rFonts w:ascii="Times New Roman" w:hAnsi="Times New Roman" w:cs="Times New Roman"/>
          <w:sz w:val="24"/>
          <w:szCs w:val="24"/>
        </w:rPr>
        <w:t xml:space="preserve">The purpose of this documentation is to determine how much impact did the </w:t>
      </w:r>
      <w:proofErr w:type="spellStart"/>
      <w:r w:rsidRPr="00E9250F">
        <w:rPr>
          <w:rFonts w:ascii="Times New Roman" w:hAnsi="Times New Roman" w:cs="Times New Roman"/>
          <w:sz w:val="24"/>
          <w:szCs w:val="24"/>
        </w:rPr>
        <w:t>Nehnwaa</w:t>
      </w:r>
      <w:proofErr w:type="spellEnd"/>
      <w:r w:rsidRPr="00E9250F">
        <w:rPr>
          <w:rFonts w:ascii="Times New Roman" w:hAnsi="Times New Roman" w:cs="Times New Roman"/>
          <w:sz w:val="24"/>
          <w:szCs w:val="24"/>
        </w:rPr>
        <w:t xml:space="preserve"> Child Survival Project, implemented by the </w:t>
      </w:r>
      <w:proofErr w:type="spellStart"/>
      <w:r w:rsidRPr="00E9250F">
        <w:rPr>
          <w:rFonts w:ascii="Times New Roman" w:hAnsi="Times New Roman" w:cs="Times New Roman"/>
          <w:sz w:val="24"/>
          <w:szCs w:val="24"/>
        </w:rPr>
        <w:t>Curamericas</w:t>
      </w:r>
      <w:proofErr w:type="spellEnd"/>
      <w:r w:rsidRPr="00E9250F">
        <w:rPr>
          <w:rFonts w:ascii="Times New Roman" w:hAnsi="Times New Roman" w:cs="Times New Roman"/>
          <w:sz w:val="24"/>
          <w:szCs w:val="24"/>
        </w:rPr>
        <w:t xml:space="preserve"> Global, made in improving the maternal and child health status within the project catchment area in </w:t>
      </w:r>
      <w:proofErr w:type="spellStart"/>
      <w:r w:rsidRPr="00E9250F">
        <w:rPr>
          <w:rFonts w:ascii="Times New Roman" w:hAnsi="Times New Roman" w:cs="Times New Roman"/>
          <w:sz w:val="24"/>
          <w:szCs w:val="24"/>
        </w:rPr>
        <w:t>Nimba</w:t>
      </w:r>
      <w:proofErr w:type="spellEnd"/>
      <w:r w:rsidRPr="00E9250F">
        <w:rPr>
          <w:rFonts w:ascii="Times New Roman" w:hAnsi="Times New Roman" w:cs="Times New Roman"/>
          <w:sz w:val="24"/>
          <w:szCs w:val="24"/>
        </w:rPr>
        <w:t xml:space="preserve"> County, Liberia. The level of impact will be measured by the number of additional deaths prevented (“lives saved”) in maternal and child health at the end of project period in 2013.</w:t>
      </w:r>
    </w:p>
    <w:p w:rsidR="00B263FB" w:rsidRPr="00E9250F" w:rsidRDefault="00B263FB" w:rsidP="008775B0">
      <w:pPr>
        <w:pStyle w:val="NoSpacing"/>
        <w:rPr>
          <w:rFonts w:ascii="Times New Roman" w:hAnsi="Times New Roman" w:cs="Times New Roman"/>
          <w:sz w:val="24"/>
          <w:szCs w:val="24"/>
          <w:u w:val="single"/>
          <w:lang w:eastAsia="ko-KR"/>
        </w:rPr>
      </w:pPr>
    </w:p>
    <w:p w:rsidR="00B263FB" w:rsidRPr="00E9250F" w:rsidRDefault="00B263FB" w:rsidP="008775B0">
      <w:pPr>
        <w:pStyle w:val="NoSpacing"/>
        <w:rPr>
          <w:rFonts w:ascii="Times New Roman" w:hAnsi="Times New Roman" w:cs="Times New Roman"/>
          <w:sz w:val="24"/>
          <w:szCs w:val="24"/>
          <w:u w:val="single"/>
          <w:lang w:eastAsia="ko-KR"/>
        </w:rPr>
      </w:pPr>
      <w:r w:rsidRPr="00E9250F">
        <w:rPr>
          <w:rFonts w:ascii="Times New Roman" w:hAnsi="Times New Roman" w:cs="Times New Roman"/>
          <w:sz w:val="24"/>
          <w:szCs w:val="24"/>
          <w:u w:val="single"/>
          <w:lang w:eastAsia="ko-KR"/>
        </w:rPr>
        <w:t>METHODS</w:t>
      </w:r>
    </w:p>
    <w:p w:rsidR="000D7CC2" w:rsidRPr="00E9250F" w:rsidRDefault="00B263FB" w:rsidP="008775B0">
      <w:pPr>
        <w:pStyle w:val="NoSpacing"/>
        <w:ind w:firstLine="720"/>
        <w:rPr>
          <w:rFonts w:ascii="Times New Roman" w:eastAsia="Malgun Gothic" w:hAnsi="Times New Roman" w:cs="Times New Roman"/>
          <w:sz w:val="24"/>
          <w:szCs w:val="24"/>
        </w:rPr>
      </w:pPr>
      <w:r w:rsidRPr="00E9250F">
        <w:rPr>
          <w:rFonts w:ascii="Times New Roman" w:hAnsi="Times New Roman" w:cs="Times New Roman"/>
          <w:sz w:val="24"/>
          <w:szCs w:val="24"/>
        </w:rPr>
        <w:t xml:space="preserve">In order to </w:t>
      </w:r>
      <w:r w:rsidR="008775B0" w:rsidRPr="00E9250F">
        <w:rPr>
          <w:rFonts w:ascii="Times New Roman" w:hAnsi="Times New Roman" w:cs="Times New Roman"/>
          <w:sz w:val="24"/>
          <w:szCs w:val="24"/>
        </w:rPr>
        <w:t>find</w:t>
      </w:r>
      <w:r w:rsidRPr="00E9250F">
        <w:rPr>
          <w:rFonts w:ascii="Times New Roman" w:hAnsi="Times New Roman" w:cs="Times New Roman"/>
          <w:sz w:val="24"/>
          <w:szCs w:val="24"/>
        </w:rPr>
        <w:t xml:space="preserve"> out the number of lives saved, </w:t>
      </w:r>
      <w:r w:rsidR="008775B0" w:rsidRPr="00E9250F">
        <w:rPr>
          <w:rFonts w:ascii="Times New Roman" w:hAnsi="Times New Roman" w:cs="Times New Roman"/>
          <w:sz w:val="24"/>
          <w:szCs w:val="24"/>
        </w:rPr>
        <w:t>the Lives Saved Tool (</w:t>
      </w:r>
      <w:proofErr w:type="spellStart"/>
      <w:r w:rsidR="008775B0" w:rsidRPr="00E9250F">
        <w:rPr>
          <w:rFonts w:ascii="Times New Roman" w:hAnsi="Times New Roman" w:cs="Times New Roman"/>
          <w:sz w:val="24"/>
          <w:szCs w:val="24"/>
        </w:rPr>
        <w:t>LiST</w:t>
      </w:r>
      <w:proofErr w:type="spellEnd"/>
      <w:r w:rsidR="008775B0" w:rsidRPr="00E9250F">
        <w:rPr>
          <w:rFonts w:ascii="Times New Roman" w:hAnsi="Times New Roman" w:cs="Times New Roman"/>
          <w:sz w:val="24"/>
          <w:szCs w:val="24"/>
        </w:rPr>
        <w:t xml:space="preserve">) was utilized. As one of main module of an analytical software called Spectrum, </w:t>
      </w:r>
      <w:proofErr w:type="spellStart"/>
      <w:r w:rsidR="008775B0" w:rsidRPr="00E9250F">
        <w:rPr>
          <w:rFonts w:ascii="Times New Roman" w:hAnsi="Times New Roman" w:cs="Times New Roman"/>
          <w:sz w:val="24"/>
          <w:szCs w:val="24"/>
        </w:rPr>
        <w:t>LiST</w:t>
      </w:r>
      <w:proofErr w:type="spellEnd"/>
      <w:r w:rsidR="008775B0" w:rsidRPr="00E9250F">
        <w:rPr>
          <w:rFonts w:ascii="Times New Roman" w:hAnsi="Times New Roman" w:cs="Times New Roman"/>
          <w:sz w:val="24"/>
          <w:szCs w:val="24"/>
        </w:rPr>
        <w:t xml:space="preserve"> is an evidence-based tool for estimating intervention impact in maternal and child health outcomes by changing coverage level for a wide range of health interventions over time. Especially, the </w:t>
      </w:r>
      <w:proofErr w:type="spellStart"/>
      <w:r w:rsidR="008775B0" w:rsidRPr="00E9250F">
        <w:rPr>
          <w:rFonts w:ascii="Times New Roman" w:hAnsi="Times New Roman" w:cs="Times New Roman"/>
          <w:sz w:val="24"/>
          <w:szCs w:val="24"/>
        </w:rPr>
        <w:t>subnational</w:t>
      </w:r>
      <w:proofErr w:type="spellEnd"/>
      <w:r w:rsidR="008775B0" w:rsidRPr="00E9250F">
        <w:rPr>
          <w:rFonts w:ascii="Times New Roman" w:hAnsi="Times New Roman" w:cs="Times New Roman"/>
          <w:sz w:val="24"/>
          <w:szCs w:val="24"/>
        </w:rPr>
        <w:t xml:space="preserve">-wizard in </w:t>
      </w:r>
      <w:proofErr w:type="spellStart"/>
      <w:r w:rsidR="008775B0" w:rsidRPr="00E9250F">
        <w:rPr>
          <w:rFonts w:ascii="Times New Roman" w:hAnsi="Times New Roman" w:cs="Times New Roman"/>
          <w:sz w:val="24"/>
          <w:szCs w:val="24"/>
        </w:rPr>
        <w:t>LiST</w:t>
      </w:r>
      <w:proofErr w:type="spellEnd"/>
      <w:r w:rsidR="008775B0" w:rsidRPr="00E9250F">
        <w:rPr>
          <w:rFonts w:ascii="Times New Roman" w:hAnsi="Times New Roman" w:cs="Times New Roman"/>
          <w:sz w:val="24"/>
          <w:szCs w:val="24"/>
        </w:rPr>
        <w:t xml:space="preserve"> was used to model projection that is specific for </w:t>
      </w:r>
      <w:proofErr w:type="spellStart"/>
      <w:r w:rsidR="008775B0" w:rsidRPr="00E9250F">
        <w:rPr>
          <w:rFonts w:ascii="Times New Roman" w:hAnsi="Times New Roman" w:cs="Times New Roman"/>
          <w:sz w:val="24"/>
          <w:szCs w:val="24"/>
        </w:rPr>
        <w:t>Nimba</w:t>
      </w:r>
      <w:proofErr w:type="spellEnd"/>
      <w:r w:rsidR="008775B0" w:rsidRPr="00E9250F">
        <w:rPr>
          <w:rFonts w:ascii="Times New Roman" w:hAnsi="Times New Roman" w:cs="Times New Roman"/>
          <w:sz w:val="24"/>
          <w:szCs w:val="24"/>
        </w:rPr>
        <w:t xml:space="preserve"> County. The main functions of the wizard</w:t>
      </w:r>
      <w:r w:rsidR="002F102C" w:rsidRPr="00E9250F">
        <w:rPr>
          <w:rFonts w:ascii="Times New Roman" w:hAnsi="Times New Roman" w:cs="Times New Roman"/>
          <w:sz w:val="24"/>
          <w:szCs w:val="24"/>
        </w:rPr>
        <w:t xml:space="preserve"> are to set </w:t>
      </w:r>
      <w:r w:rsidR="008775B0" w:rsidRPr="00E9250F">
        <w:rPr>
          <w:rFonts w:ascii="Times New Roman" w:eastAsia="Malgun Gothic" w:hAnsi="Times New Roman" w:cs="Times New Roman"/>
          <w:sz w:val="24"/>
          <w:szCs w:val="24"/>
        </w:rPr>
        <w:t xml:space="preserve">up a projection with subnational coverage estimates that user enters, and to use the change from national estimates (defaults in the software from large household surveys such as the DHS or MICS) to the subnational coverage estimates (user entered) to project subnational baseline inputs necessary for </w:t>
      </w:r>
      <w:proofErr w:type="spellStart"/>
      <w:r w:rsidR="008775B0" w:rsidRPr="00E9250F">
        <w:rPr>
          <w:rFonts w:ascii="Times New Roman" w:eastAsia="Malgun Gothic" w:hAnsi="Times New Roman" w:cs="Times New Roman"/>
          <w:sz w:val="24"/>
          <w:szCs w:val="24"/>
        </w:rPr>
        <w:t>LiST</w:t>
      </w:r>
      <w:proofErr w:type="spellEnd"/>
      <w:r w:rsidR="008775B0" w:rsidRPr="00E9250F">
        <w:rPr>
          <w:rFonts w:ascii="Times New Roman" w:eastAsia="Malgun Gothic" w:hAnsi="Times New Roman" w:cs="Times New Roman"/>
          <w:sz w:val="24"/>
          <w:szCs w:val="24"/>
        </w:rPr>
        <w:t xml:space="preserve"> modeling, if users don't already have them available. Please note that for certain missing data on intervention coverage at subnational level, the national coverage available by default in </w:t>
      </w:r>
      <w:proofErr w:type="spellStart"/>
      <w:r w:rsidR="008775B0" w:rsidRPr="00E9250F">
        <w:rPr>
          <w:rFonts w:ascii="Times New Roman" w:eastAsia="Malgun Gothic" w:hAnsi="Times New Roman" w:cs="Times New Roman"/>
          <w:sz w:val="24"/>
          <w:szCs w:val="24"/>
        </w:rPr>
        <w:t>LiST</w:t>
      </w:r>
      <w:proofErr w:type="spellEnd"/>
      <w:r w:rsidR="008775B0" w:rsidRPr="00E9250F">
        <w:rPr>
          <w:rFonts w:ascii="Times New Roman" w:eastAsia="Malgun Gothic" w:hAnsi="Times New Roman" w:cs="Times New Roman"/>
          <w:sz w:val="24"/>
          <w:szCs w:val="24"/>
        </w:rPr>
        <w:t xml:space="preserve"> was used. </w:t>
      </w:r>
    </w:p>
    <w:p w:rsidR="002F102C" w:rsidRPr="00E9250F" w:rsidRDefault="002F102C" w:rsidP="00F61206">
      <w:pPr>
        <w:pStyle w:val="NoSpacing"/>
        <w:rPr>
          <w:rFonts w:ascii="Times New Roman" w:hAnsi="Times New Roman" w:cs="Times New Roman"/>
          <w:sz w:val="24"/>
          <w:szCs w:val="24"/>
          <w:u w:val="single"/>
          <w:lang w:eastAsia="ko-KR"/>
        </w:rPr>
      </w:pPr>
    </w:p>
    <w:p w:rsidR="000D7CC2" w:rsidRPr="00E9250F" w:rsidRDefault="000D7CC2" w:rsidP="00F61206">
      <w:pPr>
        <w:pStyle w:val="NoSpacing"/>
        <w:rPr>
          <w:rFonts w:ascii="Times New Roman" w:hAnsi="Times New Roman" w:cs="Times New Roman"/>
          <w:sz w:val="24"/>
          <w:szCs w:val="24"/>
          <w:u w:val="single"/>
          <w:lang w:eastAsia="ko-KR"/>
        </w:rPr>
      </w:pPr>
      <w:r w:rsidRPr="00E9250F">
        <w:rPr>
          <w:rFonts w:ascii="Times New Roman" w:hAnsi="Times New Roman" w:cs="Times New Roman"/>
          <w:sz w:val="24"/>
          <w:szCs w:val="24"/>
          <w:u w:val="single"/>
          <w:lang w:eastAsia="ko-KR"/>
        </w:rPr>
        <w:t>RESULTS</w:t>
      </w:r>
    </w:p>
    <w:p w:rsidR="009D347A" w:rsidRPr="00E9250F" w:rsidRDefault="009D347A" w:rsidP="00F61206">
      <w:pPr>
        <w:pStyle w:val="NoSpacing"/>
        <w:rPr>
          <w:rFonts w:ascii="Times New Roman" w:hAnsi="Times New Roman" w:cs="Times New Roman"/>
          <w:sz w:val="24"/>
          <w:szCs w:val="24"/>
          <w:u w:val="single"/>
          <w:lang w:eastAsia="ko-KR"/>
        </w:rPr>
      </w:pPr>
    </w:p>
    <w:p w:rsidR="00106D2A" w:rsidRPr="00E9250F" w:rsidRDefault="00106D2A" w:rsidP="00106D2A">
      <w:pPr>
        <w:pStyle w:val="NoSpacing"/>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1. Liberia National Projection (2009-2013)</w:t>
      </w:r>
    </w:p>
    <w:p w:rsidR="00106D2A" w:rsidRPr="00E9250F" w:rsidRDefault="00106D2A" w:rsidP="00F61206">
      <w:pPr>
        <w:pStyle w:val="NoSpacing"/>
        <w:rPr>
          <w:rFonts w:ascii="Times New Roman" w:hAnsi="Times New Roman" w:cs="Times New Roman"/>
          <w:sz w:val="24"/>
          <w:szCs w:val="24"/>
          <w:u w:val="single"/>
          <w:lang w:eastAsia="ko-KR"/>
        </w:rPr>
      </w:pPr>
    </w:p>
    <w:p w:rsidR="009D347A" w:rsidRPr="00E9250F" w:rsidRDefault="009D347A"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Additional deaths prevented (“Lives Saved”) relative to impact year</w:t>
      </w:r>
    </w:p>
    <w:p w:rsidR="009D347A" w:rsidRPr="00E9250F" w:rsidRDefault="009D347A" w:rsidP="009D347A">
      <w:pPr>
        <w:pStyle w:val="NoSpacing"/>
        <w:jc w:val="center"/>
        <w:rPr>
          <w:rFonts w:ascii="Times New Roman" w:hAnsi="Times New Roman" w:cs="Times New Roman"/>
          <w:b/>
          <w:sz w:val="24"/>
          <w:szCs w:val="24"/>
          <w:lang w:eastAsia="ko-KR"/>
        </w:rPr>
      </w:pPr>
    </w:p>
    <w:tbl>
      <w:tblPr>
        <w:tblStyle w:val="TableGrid"/>
        <w:tblW w:w="0" w:type="auto"/>
        <w:tblLook w:val="04A0"/>
      </w:tblPr>
      <w:tblGrid>
        <w:gridCol w:w="846"/>
        <w:gridCol w:w="1134"/>
        <w:gridCol w:w="1134"/>
        <w:gridCol w:w="1176"/>
      </w:tblGrid>
      <w:tr w:rsidR="00DA0ADE" w:rsidRPr="00E9250F" w:rsidTr="00106D2A">
        <w:tc>
          <w:tcPr>
            <w:tcW w:w="846" w:type="dxa"/>
            <w:shd w:val="clear" w:color="auto" w:fill="F2F2F2" w:themeFill="background1" w:themeFillShade="F2"/>
            <w:vAlign w:val="center"/>
          </w:tcPr>
          <w:p w:rsidR="00DA0ADE" w:rsidRPr="00E9250F" w:rsidRDefault="00DA0ADE" w:rsidP="009D347A">
            <w:pPr>
              <w:pStyle w:val="NoSpacing"/>
              <w:jc w:val="center"/>
              <w:rPr>
                <w:rFonts w:ascii="Times New Roman" w:hAnsi="Times New Roman" w:cs="Times New Roman"/>
                <w:b/>
                <w:sz w:val="24"/>
                <w:szCs w:val="24"/>
                <w:lang w:eastAsia="ko-KR"/>
              </w:rPr>
            </w:pPr>
          </w:p>
        </w:tc>
        <w:tc>
          <w:tcPr>
            <w:tcW w:w="2268" w:type="dxa"/>
            <w:gridSpan w:val="2"/>
            <w:shd w:val="clear" w:color="auto" w:fill="F2F2F2" w:themeFill="background1" w:themeFillShade="F2"/>
            <w:vAlign w:val="center"/>
          </w:tcPr>
          <w:p w:rsidR="00DA0ADE" w:rsidRPr="00E9250F" w:rsidRDefault="00DA0ADE"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Children under 5 yrs</w:t>
            </w:r>
          </w:p>
        </w:tc>
        <w:tc>
          <w:tcPr>
            <w:tcW w:w="1134" w:type="dxa"/>
            <w:shd w:val="clear" w:color="auto" w:fill="F2F2F2" w:themeFill="background1" w:themeFillShade="F2"/>
            <w:vAlign w:val="center"/>
          </w:tcPr>
          <w:p w:rsidR="00DA0ADE" w:rsidRPr="00E9250F" w:rsidRDefault="00DA0ADE"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Maternal</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Year</w:t>
            </w:r>
          </w:p>
        </w:tc>
        <w:tc>
          <w:tcPr>
            <w:tcW w:w="1134" w:type="dxa"/>
            <w:vAlign w:val="center"/>
          </w:tcPr>
          <w:p w:rsidR="00DA0ADE" w:rsidRPr="00E9250F" w:rsidRDefault="00DA0ADE"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&lt;1 month</w:t>
            </w:r>
          </w:p>
        </w:tc>
        <w:tc>
          <w:tcPr>
            <w:tcW w:w="1134" w:type="dxa"/>
            <w:vAlign w:val="center"/>
          </w:tcPr>
          <w:p w:rsidR="00DA0ADE" w:rsidRPr="00E9250F" w:rsidRDefault="00DA0ADE"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1-59 months</w:t>
            </w:r>
          </w:p>
        </w:tc>
        <w:tc>
          <w:tcPr>
            <w:tcW w:w="1134" w:type="dxa"/>
            <w:vAlign w:val="center"/>
          </w:tcPr>
          <w:p w:rsidR="00DA0ADE" w:rsidRPr="00E9250F" w:rsidRDefault="00DA0ADE" w:rsidP="009D347A">
            <w:pPr>
              <w:pStyle w:val="NoSpacing"/>
              <w:jc w:val="center"/>
              <w:rPr>
                <w:rFonts w:ascii="Times New Roman" w:hAnsi="Times New Roman" w:cs="Times New Roman"/>
                <w:b/>
                <w:sz w:val="24"/>
                <w:szCs w:val="24"/>
                <w:lang w:eastAsia="ko-KR"/>
              </w:rPr>
            </w:pP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2009</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2010</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125</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12</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2011</w:t>
            </w:r>
          </w:p>
        </w:tc>
        <w:tc>
          <w:tcPr>
            <w:tcW w:w="1134" w:type="dxa"/>
            <w:vAlign w:val="center"/>
          </w:tcPr>
          <w:p w:rsidR="00DA0ADE" w:rsidRPr="00E9250F" w:rsidRDefault="00107B82"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248</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379</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24</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2012</w:t>
            </w:r>
          </w:p>
        </w:tc>
        <w:tc>
          <w:tcPr>
            <w:tcW w:w="1134" w:type="dxa"/>
            <w:vAlign w:val="center"/>
          </w:tcPr>
          <w:p w:rsidR="00DA0ADE" w:rsidRPr="00E9250F" w:rsidRDefault="00107B82"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558</w:t>
            </w:r>
          </w:p>
        </w:tc>
        <w:tc>
          <w:tcPr>
            <w:tcW w:w="1134" w:type="dxa"/>
            <w:vAlign w:val="center"/>
          </w:tcPr>
          <w:p w:rsidR="00DA0ADE" w:rsidRPr="00E9250F" w:rsidRDefault="00107B82"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283</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149</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2013</w:t>
            </w:r>
          </w:p>
        </w:tc>
        <w:tc>
          <w:tcPr>
            <w:tcW w:w="1134" w:type="dxa"/>
            <w:vAlign w:val="center"/>
          </w:tcPr>
          <w:p w:rsidR="00DA0ADE" w:rsidRPr="00E9250F" w:rsidRDefault="00107B82"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682</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423</w:t>
            </w:r>
          </w:p>
        </w:tc>
        <w:tc>
          <w:tcPr>
            <w:tcW w:w="1134"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166</w:t>
            </w:r>
          </w:p>
        </w:tc>
      </w:tr>
      <w:tr w:rsidR="00DA0ADE" w:rsidRPr="00E9250F" w:rsidTr="00106D2A">
        <w:tc>
          <w:tcPr>
            <w:tcW w:w="846" w:type="dxa"/>
            <w:vAlign w:val="center"/>
          </w:tcPr>
          <w:p w:rsidR="00DA0ADE" w:rsidRPr="00E9250F" w:rsidRDefault="00DA0ADE" w:rsidP="009D347A">
            <w:pPr>
              <w:pStyle w:val="NoSpacing"/>
              <w:jc w:val="center"/>
              <w:rPr>
                <w:rFonts w:ascii="Times New Roman" w:hAnsi="Times New Roman" w:cs="Times New Roman"/>
                <w:sz w:val="24"/>
                <w:szCs w:val="24"/>
                <w:lang w:eastAsia="ko-KR"/>
              </w:rPr>
            </w:pPr>
          </w:p>
        </w:tc>
        <w:tc>
          <w:tcPr>
            <w:tcW w:w="1134" w:type="dxa"/>
            <w:vAlign w:val="center"/>
          </w:tcPr>
          <w:p w:rsidR="00DA0ADE" w:rsidRPr="00E9250F" w:rsidRDefault="00F3297F" w:rsidP="00107B82">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fldChar w:fldCharType="begin"/>
            </w:r>
            <w:r w:rsidR="00107B82" w:rsidRPr="00E9250F">
              <w:rPr>
                <w:rFonts w:ascii="Times New Roman" w:hAnsi="Times New Roman" w:cs="Times New Roman"/>
                <w:sz w:val="24"/>
                <w:szCs w:val="24"/>
                <w:lang w:eastAsia="ko-KR"/>
              </w:rPr>
              <w:instrText xml:space="preserve"> =SUM(ABOVE) </w:instrText>
            </w:r>
            <w:r w:rsidRPr="00E9250F">
              <w:rPr>
                <w:rFonts w:ascii="Times New Roman" w:hAnsi="Times New Roman" w:cs="Times New Roman"/>
                <w:sz w:val="24"/>
                <w:szCs w:val="24"/>
                <w:lang w:eastAsia="ko-KR"/>
              </w:rPr>
              <w:fldChar w:fldCharType="separate"/>
            </w:r>
            <w:r w:rsidR="00107B82" w:rsidRPr="00E9250F">
              <w:rPr>
                <w:rFonts w:ascii="Times New Roman" w:hAnsi="Times New Roman" w:cs="Times New Roman"/>
                <w:noProof/>
                <w:sz w:val="24"/>
                <w:szCs w:val="24"/>
                <w:lang w:eastAsia="ko-KR"/>
              </w:rPr>
              <w:t>1</w:t>
            </w:r>
            <w:r w:rsidR="001219D0" w:rsidRPr="00E9250F">
              <w:rPr>
                <w:rFonts w:ascii="Times New Roman" w:hAnsi="Times New Roman" w:cs="Times New Roman"/>
                <w:noProof/>
                <w:sz w:val="24"/>
                <w:szCs w:val="24"/>
                <w:lang w:eastAsia="ko-KR"/>
              </w:rPr>
              <w:t>,</w:t>
            </w:r>
            <w:r w:rsidR="00107B82" w:rsidRPr="00E9250F">
              <w:rPr>
                <w:rFonts w:ascii="Times New Roman" w:hAnsi="Times New Roman" w:cs="Times New Roman"/>
                <w:noProof/>
                <w:sz w:val="24"/>
                <w:szCs w:val="24"/>
                <w:lang w:eastAsia="ko-KR"/>
              </w:rPr>
              <w:t>613</w:t>
            </w:r>
            <w:r w:rsidRPr="00E9250F">
              <w:rPr>
                <w:rFonts w:ascii="Times New Roman" w:hAnsi="Times New Roman" w:cs="Times New Roman"/>
                <w:sz w:val="24"/>
                <w:szCs w:val="24"/>
                <w:lang w:eastAsia="ko-KR"/>
              </w:rPr>
              <w:fldChar w:fldCharType="end"/>
            </w:r>
          </w:p>
        </w:tc>
        <w:tc>
          <w:tcPr>
            <w:tcW w:w="1134" w:type="dxa"/>
            <w:vAlign w:val="center"/>
          </w:tcPr>
          <w:p w:rsidR="00DA0ADE" w:rsidRPr="00E9250F" w:rsidRDefault="00F3297F"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fldChar w:fldCharType="begin"/>
            </w:r>
            <w:r w:rsidR="00107B82" w:rsidRPr="00E9250F">
              <w:rPr>
                <w:rFonts w:ascii="Times New Roman" w:hAnsi="Times New Roman" w:cs="Times New Roman"/>
                <w:sz w:val="24"/>
                <w:szCs w:val="24"/>
                <w:lang w:eastAsia="ko-KR"/>
              </w:rPr>
              <w:instrText xml:space="preserve"> =SUM(ABOVE) </w:instrText>
            </w:r>
            <w:r w:rsidRPr="00E9250F">
              <w:rPr>
                <w:rFonts w:ascii="Times New Roman" w:hAnsi="Times New Roman" w:cs="Times New Roman"/>
                <w:sz w:val="24"/>
                <w:szCs w:val="24"/>
                <w:lang w:eastAsia="ko-KR"/>
              </w:rPr>
              <w:fldChar w:fldCharType="separate"/>
            </w:r>
            <w:r w:rsidR="00107B82" w:rsidRPr="00E9250F">
              <w:rPr>
                <w:rFonts w:ascii="Times New Roman" w:hAnsi="Times New Roman" w:cs="Times New Roman"/>
                <w:noProof/>
                <w:sz w:val="24"/>
                <w:szCs w:val="24"/>
                <w:lang w:eastAsia="ko-KR"/>
              </w:rPr>
              <w:t>1</w:t>
            </w:r>
            <w:r w:rsidR="001219D0" w:rsidRPr="00E9250F">
              <w:rPr>
                <w:rFonts w:ascii="Times New Roman" w:hAnsi="Times New Roman" w:cs="Times New Roman"/>
                <w:noProof/>
                <w:sz w:val="24"/>
                <w:szCs w:val="24"/>
                <w:lang w:eastAsia="ko-KR"/>
              </w:rPr>
              <w:t>,</w:t>
            </w:r>
            <w:r w:rsidR="00107B82" w:rsidRPr="00E9250F">
              <w:rPr>
                <w:rFonts w:ascii="Times New Roman" w:hAnsi="Times New Roman" w:cs="Times New Roman"/>
                <w:noProof/>
                <w:sz w:val="24"/>
                <w:szCs w:val="24"/>
                <w:lang w:eastAsia="ko-KR"/>
              </w:rPr>
              <w:t>089</w:t>
            </w:r>
            <w:r w:rsidRPr="00E9250F">
              <w:rPr>
                <w:rFonts w:ascii="Times New Roman" w:hAnsi="Times New Roman" w:cs="Times New Roman"/>
                <w:sz w:val="24"/>
                <w:szCs w:val="24"/>
                <w:lang w:eastAsia="ko-KR"/>
              </w:rPr>
              <w:fldChar w:fldCharType="end"/>
            </w:r>
          </w:p>
        </w:tc>
        <w:tc>
          <w:tcPr>
            <w:tcW w:w="1134" w:type="dxa"/>
            <w:vAlign w:val="center"/>
          </w:tcPr>
          <w:p w:rsidR="00DA0ADE" w:rsidRPr="00E9250F" w:rsidRDefault="00F3297F" w:rsidP="009D347A">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fldChar w:fldCharType="begin"/>
            </w:r>
            <w:r w:rsidR="00107B82" w:rsidRPr="00E9250F">
              <w:rPr>
                <w:rFonts w:ascii="Times New Roman" w:hAnsi="Times New Roman" w:cs="Times New Roman"/>
                <w:sz w:val="24"/>
                <w:szCs w:val="24"/>
                <w:lang w:eastAsia="ko-KR"/>
              </w:rPr>
              <w:instrText xml:space="preserve"> =SUM(ABOVE) </w:instrText>
            </w:r>
            <w:r w:rsidRPr="00E9250F">
              <w:rPr>
                <w:rFonts w:ascii="Times New Roman" w:hAnsi="Times New Roman" w:cs="Times New Roman"/>
                <w:sz w:val="24"/>
                <w:szCs w:val="24"/>
                <w:lang w:eastAsia="ko-KR"/>
              </w:rPr>
              <w:fldChar w:fldCharType="separate"/>
            </w:r>
            <w:r w:rsidR="00107B82" w:rsidRPr="00E9250F">
              <w:rPr>
                <w:rFonts w:ascii="Times New Roman" w:hAnsi="Times New Roman" w:cs="Times New Roman"/>
                <w:noProof/>
                <w:sz w:val="24"/>
                <w:szCs w:val="24"/>
                <w:lang w:eastAsia="ko-KR"/>
              </w:rPr>
              <w:t>351</w:t>
            </w:r>
            <w:r w:rsidRPr="00E9250F">
              <w:rPr>
                <w:rFonts w:ascii="Times New Roman" w:hAnsi="Times New Roman" w:cs="Times New Roman"/>
                <w:sz w:val="24"/>
                <w:szCs w:val="24"/>
                <w:lang w:eastAsia="ko-KR"/>
              </w:rPr>
              <w:fldChar w:fldCharType="end"/>
            </w:r>
          </w:p>
        </w:tc>
      </w:tr>
      <w:tr w:rsidR="001219D0" w:rsidRPr="00E9250F" w:rsidTr="001219D0">
        <w:tc>
          <w:tcPr>
            <w:tcW w:w="846" w:type="dxa"/>
            <w:shd w:val="clear" w:color="auto" w:fill="F2F2F2" w:themeFill="background1" w:themeFillShade="F2"/>
            <w:vAlign w:val="center"/>
          </w:tcPr>
          <w:p w:rsidR="001219D0" w:rsidRPr="00E9250F" w:rsidRDefault="001219D0"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Total</w:t>
            </w:r>
          </w:p>
        </w:tc>
        <w:tc>
          <w:tcPr>
            <w:tcW w:w="3402" w:type="dxa"/>
            <w:gridSpan w:val="3"/>
            <w:shd w:val="clear" w:color="auto" w:fill="F2F2F2" w:themeFill="background1" w:themeFillShade="F2"/>
            <w:vAlign w:val="center"/>
          </w:tcPr>
          <w:p w:rsidR="001219D0" w:rsidRPr="00E9250F" w:rsidRDefault="001219D0" w:rsidP="009D347A">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3,053</w:t>
            </w:r>
          </w:p>
        </w:tc>
      </w:tr>
    </w:tbl>
    <w:p w:rsidR="00853659" w:rsidRPr="00E9250F" w:rsidRDefault="00853659" w:rsidP="00F61206">
      <w:pPr>
        <w:pStyle w:val="NoSpacing"/>
        <w:rPr>
          <w:rFonts w:ascii="Times New Roman" w:hAnsi="Times New Roman" w:cs="Times New Roman"/>
          <w:sz w:val="24"/>
          <w:szCs w:val="24"/>
          <w:u w:val="single"/>
          <w:lang w:eastAsia="ko-KR"/>
        </w:rPr>
      </w:pPr>
    </w:p>
    <w:p w:rsidR="00C65D7A" w:rsidRDefault="00C65D7A" w:rsidP="00F61206">
      <w:pPr>
        <w:pStyle w:val="NoSpacing"/>
        <w:rPr>
          <w:rFonts w:ascii="Times New Roman" w:hAnsi="Times New Roman" w:cs="Times New Roman"/>
          <w:sz w:val="24"/>
          <w:szCs w:val="24"/>
          <w:lang w:eastAsia="ko-KR"/>
        </w:rPr>
      </w:pPr>
    </w:p>
    <w:p w:rsidR="00E9250F" w:rsidRDefault="00E9250F" w:rsidP="00F61206">
      <w:pPr>
        <w:pStyle w:val="NoSpacing"/>
        <w:rPr>
          <w:rFonts w:ascii="Times New Roman" w:hAnsi="Times New Roman" w:cs="Times New Roman"/>
          <w:sz w:val="24"/>
          <w:szCs w:val="24"/>
          <w:lang w:eastAsia="ko-KR"/>
        </w:rPr>
      </w:pPr>
    </w:p>
    <w:p w:rsidR="008C3727" w:rsidRDefault="008C3727" w:rsidP="00F61206">
      <w:pPr>
        <w:pStyle w:val="NoSpacing"/>
        <w:rPr>
          <w:rFonts w:ascii="Times New Roman" w:hAnsi="Times New Roman" w:cs="Times New Roman"/>
          <w:sz w:val="24"/>
          <w:szCs w:val="24"/>
          <w:lang w:eastAsia="ko-KR"/>
        </w:rPr>
      </w:pPr>
    </w:p>
    <w:p w:rsidR="008C3727" w:rsidRDefault="008C3727" w:rsidP="00F61206">
      <w:pPr>
        <w:pStyle w:val="NoSpacing"/>
        <w:rPr>
          <w:rFonts w:ascii="Times New Roman" w:hAnsi="Times New Roman" w:cs="Times New Roman"/>
          <w:sz w:val="24"/>
          <w:szCs w:val="24"/>
          <w:lang w:eastAsia="ko-KR"/>
        </w:rPr>
      </w:pPr>
    </w:p>
    <w:p w:rsidR="008C3727" w:rsidRDefault="008C3727" w:rsidP="00F61206">
      <w:pPr>
        <w:pStyle w:val="NoSpacing"/>
        <w:rPr>
          <w:rFonts w:ascii="Times New Roman" w:hAnsi="Times New Roman" w:cs="Times New Roman"/>
          <w:sz w:val="24"/>
          <w:szCs w:val="24"/>
          <w:lang w:eastAsia="ko-KR"/>
        </w:rPr>
      </w:pPr>
    </w:p>
    <w:p w:rsidR="008C3727" w:rsidRDefault="008C3727" w:rsidP="00F61206">
      <w:pPr>
        <w:pStyle w:val="NoSpacing"/>
        <w:rPr>
          <w:rFonts w:ascii="Times New Roman" w:hAnsi="Times New Roman" w:cs="Times New Roman"/>
          <w:sz w:val="24"/>
          <w:szCs w:val="24"/>
          <w:lang w:eastAsia="ko-KR"/>
        </w:rPr>
      </w:pPr>
    </w:p>
    <w:p w:rsidR="00E9250F" w:rsidRPr="00E9250F" w:rsidRDefault="00E9250F" w:rsidP="00F61206">
      <w:pPr>
        <w:pStyle w:val="NoSpacing"/>
        <w:rPr>
          <w:rFonts w:ascii="Times New Roman" w:hAnsi="Times New Roman" w:cs="Times New Roman"/>
          <w:sz w:val="24"/>
          <w:szCs w:val="24"/>
          <w:lang w:eastAsia="ko-KR"/>
        </w:rPr>
      </w:pPr>
    </w:p>
    <w:p w:rsidR="003C1201" w:rsidRPr="00E9250F" w:rsidRDefault="00A37163" w:rsidP="00F61206">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lastRenderedPageBreak/>
        <w:t xml:space="preserve">1) </w:t>
      </w:r>
      <w:r w:rsidR="009D347A" w:rsidRPr="00E9250F">
        <w:rPr>
          <w:rFonts w:ascii="Times New Roman" w:hAnsi="Times New Roman" w:cs="Times New Roman"/>
          <w:sz w:val="24"/>
          <w:szCs w:val="24"/>
          <w:lang w:eastAsia="ko-KR"/>
        </w:rPr>
        <w:t>Child</w:t>
      </w:r>
      <w:r w:rsidR="0042108D" w:rsidRPr="00E9250F">
        <w:rPr>
          <w:rFonts w:ascii="Times New Roman" w:hAnsi="Times New Roman" w:cs="Times New Roman"/>
          <w:sz w:val="24"/>
          <w:szCs w:val="24"/>
          <w:lang w:eastAsia="ko-KR"/>
        </w:rPr>
        <w:t xml:space="preserve"> (0-60 months)</w:t>
      </w:r>
    </w:p>
    <w:p w:rsidR="00951849" w:rsidRPr="00E9250F" w:rsidRDefault="00951849" w:rsidP="00951849">
      <w:pPr>
        <w:pStyle w:val="NoSpacing"/>
        <w:ind w:firstLineChars="50" w:firstLine="120"/>
        <w:rPr>
          <w:rFonts w:ascii="Times New Roman" w:hAnsi="Times New Roman" w:cs="Times New Roman"/>
          <w:sz w:val="24"/>
          <w:szCs w:val="24"/>
          <w:lang w:eastAsia="ko-KR"/>
        </w:rPr>
      </w:pPr>
    </w:p>
    <w:p w:rsidR="007D339E" w:rsidRPr="00E9250F" w:rsidRDefault="007D339E" w:rsidP="00E9250F">
      <w:pPr>
        <w:pStyle w:val="NoSpacing"/>
        <w:ind w:firstLineChars="50" w:firstLine="120"/>
        <w:jc w:val="center"/>
        <w:rPr>
          <w:rFonts w:ascii="Times New Roman" w:hAnsi="Times New Roman" w:cs="Times New Roman"/>
          <w:b/>
          <w:sz w:val="24"/>
          <w:szCs w:val="24"/>
        </w:rPr>
      </w:pPr>
      <w:r w:rsidRPr="00E9250F">
        <w:rPr>
          <w:rFonts w:ascii="Times New Roman" w:hAnsi="Times New Roman" w:cs="Times New Roman"/>
          <w:b/>
          <w:sz w:val="24"/>
          <w:szCs w:val="24"/>
        </w:rPr>
        <w:t>Additional deaths prevented in children under five years of age by intervention relative to impact year</w:t>
      </w:r>
      <w:r w:rsidR="00E9250F">
        <w:rPr>
          <w:rFonts w:ascii="Times New Roman" w:hAnsi="Times New Roman" w:cs="Times New Roman" w:hint="eastAsia"/>
          <w:b/>
          <w:sz w:val="24"/>
          <w:szCs w:val="24"/>
          <w:lang w:eastAsia="ko-KR"/>
        </w:rPr>
        <w:t xml:space="preserve"> </w:t>
      </w:r>
      <w:r w:rsidRPr="00E9250F">
        <w:rPr>
          <w:rFonts w:ascii="Times New Roman" w:hAnsi="Times New Roman" w:cs="Times New Roman"/>
          <w:b/>
          <w:sz w:val="24"/>
          <w:szCs w:val="24"/>
        </w:rPr>
        <w:t>(Total (0-60 months))</w:t>
      </w:r>
    </w:p>
    <w:p w:rsidR="007D339E" w:rsidRPr="00E9250F" w:rsidRDefault="007D339E" w:rsidP="00F61206">
      <w:pPr>
        <w:pStyle w:val="NoSpacing"/>
        <w:rPr>
          <w:rFonts w:ascii="Times New Roman" w:hAnsi="Times New Roman" w:cs="Times New Roman"/>
          <w:sz w:val="24"/>
          <w:szCs w:val="24"/>
          <w:lang w:eastAsia="ko-KR"/>
        </w:rPr>
      </w:pPr>
    </w:p>
    <w:tbl>
      <w:tblPr>
        <w:tblStyle w:val="TableGrid"/>
        <w:tblW w:w="9553" w:type="dxa"/>
        <w:jc w:val="center"/>
        <w:tblLayout w:type="fixed"/>
        <w:tblLook w:val="04A0"/>
      </w:tblPr>
      <w:tblGrid>
        <w:gridCol w:w="5342"/>
        <w:gridCol w:w="701"/>
        <w:gridCol w:w="702"/>
        <w:gridCol w:w="702"/>
        <w:gridCol w:w="702"/>
        <w:gridCol w:w="702"/>
        <w:gridCol w:w="702"/>
      </w:tblGrid>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p>
        </w:tc>
        <w:tc>
          <w:tcPr>
            <w:tcW w:w="701" w:type="dxa"/>
            <w:noWrap/>
            <w:vAlign w:val="center"/>
            <w:hideMark/>
          </w:tcPr>
          <w:p w:rsidR="007D339E" w:rsidRPr="00E9250F" w:rsidRDefault="007D339E" w:rsidP="007D339E">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2009</w:t>
            </w:r>
          </w:p>
        </w:tc>
        <w:tc>
          <w:tcPr>
            <w:tcW w:w="702" w:type="dxa"/>
            <w:noWrap/>
            <w:vAlign w:val="center"/>
            <w:hideMark/>
          </w:tcPr>
          <w:p w:rsidR="007D339E" w:rsidRPr="00E9250F" w:rsidRDefault="007D339E" w:rsidP="007D339E">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2010</w:t>
            </w:r>
          </w:p>
        </w:tc>
        <w:tc>
          <w:tcPr>
            <w:tcW w:w="702" w:type="dxa"/>
            <w:noWrap/>
            <w:vAlign w:val="center"/>
            <w:hideMark/>
          </w:tcPr>
          <w:p w:rsidR="007D339E" w:rsidRPr="00E9250F" w:rsidRDefault="007D339E" w:rsidP="007D339E">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2011</w:t>
            </w:r>
          </w:p>
        </w:tc>
        <w:tc>
          <w:tcPr>
            <w:tcW w:w="702" w:type="dxa"/>
            <w:noWrap/>
            <w:vAlign w:val="center"/>
            <w:hideMark/>
          </w:tcPr>
          <w:p w:rsidR="007D339E" w:rsidRPr="00E9250F" w:rsidRDefault="007D339E" w:rsidP="007D339E">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2012</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2013</w:t>
            </w:r>
          </w:p>
        </w:tc>
        <w:tc>
          <w:tcPr>
            <w:tcW w:w="702" w:type="dxa"/>
            <w:shd w:val="clear" w:color="auto" w:fill="F2F2F2" w:themeFill="background1" w:themeFillShade="F2"/>
            <w:vAlign w:val="center"/>
          </w:tcPr>
          <w:p w:rsidR="007D339E" w:rsidRPr="00E9250F" w:rsidRDefault="003457BB" w:rsidP="007D339E">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Pregnancy</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proofErr w:type="spellStart"/>
            <w:r w:rsidRPr="00E9250F">
              <w:rPr>
                <w:rFonts w:ascii="Times New Roman" w:hAnsi="Times New Roman" w:cs="Times New Roman"/>
                <w:sz w:val="24"/>
                <w:szCs w:val="24"/>
              </w:rPr>
              <w:t>IPTp</w:t>
            </w:r>
            <w:proofErr w:type="spellEnd"/>
            <w:r w:rsidRPr="00E9250F">
              <w:rPr>
                <w:rFonts w:ascii="Times New Roman" w:hAnsi="Times New Roman" w:cs="Times New Roman"/>
                <w:sz w:val="24"/>
                <w:szCs w:val="24"/>
              </w:rPr>
              <w:t xml:space="preserve"> - Intermittent preventive treatment of malaria during pregnancy</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Syphilis detection and treatment</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PMTCT - Prevention of mother to child transmission of HIV (including breastfeeding choices)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-28</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15</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Maternal age and birth order</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Birth intervals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shd w:val="pct15" w:color="auto" w:fill="FFFFFF"/>
              </w:rPr>
            </w:pPr>
            <w:r w:rsidRPr="00E9250F">
              <w:rPr>
                <w:rFonts w:ascii="Times New Roman" w:hAnsi="Times New Roman" w:cs="Times New Roman"/>
                <w:sz w:val="24"/>
                <w:szCs w:val="24"/>
                <w:shd w:val="pct15" w:color="auto" w:fill="FFFFFF"/>
              </w:rPr>
              <w:t>Childbirth</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Clean birth practices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23</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Immediate assessment and stimulation</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18</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24</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r>
      <w:tr w:rsidR="003457BB"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highlight w:val="yellow"/>
              </w:rPr>
              <w:t>Labor and delivery management</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233</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261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color w:val="FF0000"/>
                <w:sz w:val="24"/>
                <w:szCs w:val="24"/>
                <w:lang w:eastAsia="ko-KR"/>
              </w:rPr>
            </w:pPr>
            <w:r w:rsidRPr="00E9250F">
              <w:rPr>
                <w:rFonts w:ascii="Times New Roman" w:hAnsi="Times New Roman" w:cs="Times New Roman"/>
                <w:color w:val="FF0000"/>
                <w:sz w:val="24"/>
                <w:szCs w:val="24"/>
                <w:lang w:eastAsia="ko-KR"/>
              </w:rPr>
              <w:t>20</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Neonatal resuscitation</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33</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49</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65</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 xml:space="preserve">Antibiotics for </w:t>
            </w:r>
            <w:proofErr w:type="spellStart"/>
            <w:r w:rsidRPr="00E9250F">
              <w:rPr>
                <w:rFonts w:ascii="Times New Roman" w:hAnsi="Times New Roman" w:cs="Times New Roman"/>
                <w:sz w:val="24"/>
                <w:szCs w:val="24"/>
              </w:rPr>
              <w:t>pPRoM</w:t>
            </w:r>
            <w:proofErr w:type="spellEnd"/>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22</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25</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Breastfeeding</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lang w:eastAsia="ko-KR"/>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Changes in breastfeeding</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60</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6</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Preventive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Clean postnatal practices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53</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70</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Vitamin A supplementation</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-135</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Improved water source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10</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Water connection in the home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Improved sanitation - Utilization of latrines or toilets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Hygienic disposal of children's stools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-13</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ITN/IRS - Households protected from malaria</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54</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111</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149</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188</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14</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Vaccines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DPT vaccine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highlight w:val="yellow"/>
              </w:rPr>
              <w:t xml:space="preserve">H. </w:t>
            </w:r>
            <w:proofErr w:type="spellStart"/>
            <w:r w:rsidRPr="00E9250F">
              <w:rPr>
                <w:rFonts w:ascii="Times New Roman" w:hAnsi="Times New Roman" w:cs="Times New Roman"/>
                <w:sz w:val="24"/>
                <w:szCs w:val="24"/>
                <w:highlight w:val="yellow"/>
              </w:rPr>
              <w:t>influenzae</w:t>
            </w:r>
            <w:proofErr w:type="spellEnd"/>
            <w:r w:rsidRPr="00E9250F">
              <w:rPr>
                <w:rFonts w:ascii="Times New Roman" w:hAnsi="Times New Roman" w:cs="Times New Roman"/>
                <w:sz w:val="24"/>
                <w:szCs w:val="24"/>
                <w:highlight w:val="yellow"/>
              </w:rPr>
              <w:t xml:space="preserve"> b vaccine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-125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112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264</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248</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color w:val="FF0000"/>
                <w:sz w:val="24"/>
                <w:szCs w:val="24"/>
                <w:lang w:eastAsia="ko-KR"/>
              </w:rPr>
            </w:pPr>
            <w:r w:rsidRPr="00E9250F">
              <w:rPr>
                <w:rFonts w:ascii="Times New Roman" w:hAnsi="Times New Roman" w:cs="Times New Roman"/>
                <w:color w:val="FF0000"/>
                <w:sz w:val="24"/>
                <w:szCs w:val="24"/>
                <w:lang w:eastAsia="ko-KR"/>
              </w:rPr>
              <w:t>19</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Measles vaccine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Curative after birth</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Thermal care</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22</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30</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Injectable antibiotics for neonatal sepsis/pneumonia</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33</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95</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123</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9</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ORS - oral rehydration solution</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66</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108</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134</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10</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Antibiotics for treatment of dysentery</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lastRenderedPageBreak/>
              <w:t>Oral antibiotics for pneumonia</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-48</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-141</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-190</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Vitamin A for treatment of measles</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-71</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 xml:space="preserve">ACTs - </w:t>
            </w:r>
            <w:proofErr w:type="spellStart"/>
            <w:r w:rsidRPr="00E9250F">
              <w:rPr>
                <w:rFonts w:ascii="Times New Roman" w:hAnsi="Times New Roman" w:cs="Times New Roman"/>
                <w:sz w:val="24"/>
                <w:szCs w:val="24"/>
              </w:rPr>
              <w:t>Artemesinin</w:t>
            </w:r>
            <w:proofErr w:type="spellEnd"/>
            <w:r w:rsidRPr="00E9250F">
              <w:rPr>
                <w:rFonts w:ascii="Times New Roman" w:hAnsi="Times New Roman" w:cs="Times New Roman"/>
                <w:sz w:val="24"/>
                <w:szCs w:val="24"/>
              </w:rPr>
              <w:t xml:space="preserve"> compounds for treatment of malaria</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93</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184</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90</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702" w:type="dxa"/>
            <w:shd w:val="clear" w:color="auto" w:fill="F2F2F2" w:themeFill="background1" w:themeFillShade="F2"/>
            <w:vAlign w:val="center"/>
          </w:tcPr>
          <w:p w:rsidR="007D339E" w:rsidRPr="00E9250F" w:rsidRDefault="007D339E" w:rsidP="007D339E">
            <w:pPr>
              <w:pStyle w:val="NoSpacing"/>
              <w:jc w:val="center"/>
              <w:rPr>
                <w:rFonts w:ascii="Times New Roman" w:hAnsi="Times New Roman" w:cs="Times New Roman"/>
                <w:sz w:val="24"/>
                <w:szCs w:val="24"/>
              </w:rPr>
            </w:pP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proofErr w:type="spellStart"/>
            <w:r w:rsidRPr="00E9250F">
              <w:rPr>
                <w:rFonts w:ascii="Times New Roman" w:hAnsi="Times New Roman" w:cs="Times New Roman"/>
                <w:sz w:val="24"/>
                <w:szCs w:val="24"/>
              </w:rPr>
              <w:t>Cotrimoxazole</w:t>
            </w:r>
            <w:proofErr w:type="spellEnd"/>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11</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7D339E" w:rsidRPr="00E9250F" w:rsidTr="00C65D7A">
        <w:trPr>
          <w:trHeight w:val="338"/>
          <w:jc w:val="center"/>
        </w:trPr>
        <w:tc>
          <w:tcPr>
            <w:tcW w:w="5342" w:type="dxa"/>
            <w:noWrap/>
            <w:vAlign w:val="center"/>
            <w:hideMark/>
          </w:tcPr>
          <w:p w:rsidR="007D339E" w:rsidRPr="00E9250F" w:rsidRDefault="007D339E" w:rsidP="003C1201">
            <w:pPr>
              <w:pStyle w:val="NoSpacing"/>
              <w:rPr>
                <w:rFonts w:ascii="Times New Roman" w:hAnsi="Times New Roman" w:cs="Times New Roman"/>
                <w:sz w:val="24"/>
                <w:szCs w:val="24"/>
              </w:rPr>
            </w:pPr>
            <w:r w:rsidRPr="00E9250F">
              <w:rPr>
                <w:rFonts w:ascii="Times New Roman" w:hAnsi="Times New Roman" w:cs="Times New Roman"/>
                <w:sz w:val="24"/>
                <w:szCs w:val="24"/>
              </w:rPr>
              <w:t>ART</w:t>
            </w:r>
          </w:p>
        </w:tc>
        <w:tc>
          <w:tcPr>
            <w:tcW w:w="701"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702" w:type="dxa"/>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DE9D9" w:themeFill="accent6" w:themeFillTint="33"/>
            <w:noWrap/>
            <w:vAlign w:val="center"/>
            <w:hideMark/>
          </w:tcPr>
          <w:p w:rsidR="007D339E" w:rsidRPr="00E9250F" w:rsidRDefault="007D339E" w:rsidP="007D339E">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702" w:type="dxa"/>
            <w:shd w:val="clear" w:color="auto" w:fill="F2F2F2" w:themeFill="background1" w:themeFillShade="F2"/>
            <w:vAlign w:val="center"/>
          </w:tcPr>
          <w:p w:rsidR="007D339E" w:rsidRPr="00E9250F" w:rsidRDefault="00DF1EB8" w:rsidP="007D339E">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bl>
    <w:p w:rsidR="00A37163" w:rsidRPr="00E9250F" w:rsidRDefault="00A37163" w:rsidP="00F61206">
      <w:pPr>
        <w:pStyle w:val="NoSpacing"/>
        <w:rPr>
          <w:rFonts w:ascii="Times New Roman" w:hAnsi="Times New Roman" w:cs="Times New Roman"/>
          <w:sz w:val="24"/>
          <w:szCs w:val="24"/>
          <w:u w:val="single"/>
        </w:rPr>
      </w:pPr>
    </w:p>
    <w:p w:rsidR="002F102C" w:rsidRPr="00E9250F" w:rsidRDefault="00DF1EB8" w:rsidP="002F102C">
      <w:pPr>
        <w:pStyle w:val="NoSpacing"/>
        <w:numPr>
          <w:ilvl w:val="0"/>
          <w:numId w:val="8"/>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 xml:space="preserve">According to the data analysis from </w:t>
      </w:r>
      <w:proofErr w:type="spellStart"/>
      <w:r w:rsidRPr="00E9250F">
        <w:rPr>
          <w:rFonts w:ascii="Times New Roman" w:hAnsi="Times New Roman" w:cs="Times New Roman"/>
          <w:sz w:val="24"/>
          <w:szCs w:val="24"/>
          <w:lang w:eastAsia="ko-KR"/>
        </w:rPr>
        <w:t>LiST</w:t>
      </w:r>
      <w:proofErr w:type="spellEnd"/>
      <w:r w:rsidRPr="00E9250F">
        <w:rPr>
          <w:rFonts w:ascii="Times New Roman" w:hAnsi="Times New Roman" w:cs="Times New Roman"/>
          <w:sz w:val="24"/>
          <w:szCs w:val="24"/>
          <w:lang w:eastAsia="ko-KR"/>
        </w:rPr>
        <w:t>, it was found that the intervention</w:t>
      </w:r>
      <w:r w:rsidR="005C3BDB" w:rsidRPr="00E9250F">
        <w:rPr>
          <w:rFonts w:ascii="Times New Roman" w:hAnsi="Times New Roman" w:cs="Times New Roman"/>
          <w:sz w:val="24"/>
          <w:szCs w:val="24"/>
          <w:lang w:eastAsia="ko-KR"/>
        </w:rPr>
        <w:t>s</w:t>
      </w:r>
      <w:r w:rsidRPr="00E9250F">
        <w:rPr>
          <w:rFonts w:ascii="Times New Roman" w:hAnsi="Times New Roman" w:cs="Times New Roman"/>
          <w:sz w:val="24"/>
          <w:szCs w:val="24"/>
          <w:lang w:eastAsia="ko-KR"/>
        </w:rPr>
        <w:t xml:space="preserve"> of </w:t>
      </w:r>
      <w:r w:rsidRPr="00E9250F">
        <w:rPr>
          <w:rFonts w:ascii="Times New Roman" w:hAnsi="Times New Roman" w:cs="Times New Roman"/>
          <w:sz w:val="24"/>
          <w:szCs w:val="24"/>
          <w:u w:val="single"/>
          <w:lang w:eastAsia="ko-KR"/>
        </w:rPr>
        <w:t>labor and delivery management</w:t>
      </w:r>
      <w:r w:rsidR="005C3BDB" w:rsidRPr="00E9250F">
        <w:rPr>
          <w:rFonts w:ascii="Times New Roman" w:hAnsi="Times New Roman" w:cs="Times New Roman"/>
          <w:sz w:val="24"/>
          <w:szCs w:val="24"/>
          <w:lang w:eastAsia="ko-KR"/>
        </w:rPr>
        <w:t xml:space="preserve"> (20%)</w:t>
      </w:r>
      <w:r w:rsidRPr="00E9250F">
        <w:rPr>
          <w:rFonts w:ascii="Times New Roman" w:hAnsi="Times New Roman" w:cs="Times New Roman"/>
          <w:sz w:val="24"/>
          <w:szCs w:val="24"/>
          <w:lang w:eastAsia="ko-KR"/>
        </w:rPr>
        <w:t xml:space="preserve"> </w:t>
      </w:r>
      <w:r w:rsidR="005C3BDB" w:rsidRPr="00E9250F">
        <w:rPr>
          <w:rFonts w:ascii="Times New Roman" w:hAnsi="Times New Roman" w:cs="Times New Roman"/>
          <w:sz w:val="24"/>
          <w:szCs w:val="24"/>
          <w:lang w:eastAsia="ko-KR"/>
        </w:rPr>
        <w:t xml:space="preserve">and </w:t>
      </w:r>
      <w:proofErr w:type="spellStart"/>
      <w:r w:rsidR="005C3BDB" w:rsidRPr="00E9250F">
        <w:rPr>
          <w:rFonts w:ascii="Times New Roman" w:hAnsi="Times New Roman" w:cs="Times New Roman"/>
          <w:sz w:val="24"/>
          <w:szCs w:val="24"/>
          <w:u w:val="single"/>
          <w:lang w:eastAsia="ko-KR"/>
        </w:rPr>
        <w:t>H.influenzae</w:t>
      </w:r>
      <w:proofErr w:type="spellEnd"/>
      <w:r w:rsidR="005C3BDB" w:rsidRPr="00E9250F">
        <w:rPr>
          <w:rFonts w:ascii="Times New Roman" w:hAnsi="Times New Roman" w:cs="Times New Roman"/>
          <w:sz w:val="24"/>
          <w:szCs w:val="24"/>
          <w:u w:val="single"/>
          <w:lang w:eastAsia="ko-KR"/>
        </w:rPr>
        <w:t xml:space="preserve"> b vaccine</w:t>
      </w:r>
      <w:r w:rsidR="005C3BDB" w:rsidRPr="00E9250F">
        <w:rPr>
          <w:rFonts w:ascii="Times New Roman" w:hAnsi="Times New Roman" w:cs="Times New Roman"/>
          <w:sz w:val="24"/>
          <w:szCs w:val="24"/>
          <w:lang w:eastAsia="ko-KR"/>
        </w:rPr>
        <w:t xml:space="preserve"> (19%) are the ones with the largest impact in saving lives of children under </w:t>
      </w:r>
      <w:r w:rsidR="002F102C" w:rsidRPr="00E9250F">
        <w:rPr>
          <w:rFonts w:ascii="Times New Roman" w:hAnsi="Times New Roman" w:cs="Times New Roman"/>
          <w:sz w:val="24"/>
          <w:szCs w:val="24"/>
          <w:lang w:eastAsia="ko-KR"/>
        </w:rPr>
        <w:t>that age of five (0-60 months).</w:t>
      </w:r>
    </w:p>
    <w:p w:rsidR="00B81427" w:rsidRPr="00E9250F" w:rsidRDefault="00DF1EB8" w:rsidP="002F102C">
      <w:pPr>
        <w:pStyle w:val="NoSpacing"/>
        <w:numPr>
          <w:ilvl w:val="0"/>
          <w:numId w:val="8"/>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Labor and delivery management intervention refers to efforts to increase the number of women receiving labor and delivery management from a skilled birth attendant.</w:t>
      </w:r>
    </w:p>
    <w:p w:rsidR="004D781C" w:rsidRPr="00E9250F" w:rsidRDefault="004D781C" w:rsidP="00F61206">
      <w:pPr>
        <w:pStyle w:val="NoSpacing"/>
        <w:rPr>
          <w:rFonts w:ascii="Times New Roman" w:hAnsi="Times New Roman" w:cs="Times New Roman"/>
          <w:sz w:val="24"/>
          <w:szCs w:val="24"/>
          <w:u w:val="single"/>
        </w:rPr>
      </w:pPr>
    </w:p>
    <w:p w:rsidR="004D781C" w:rsidRPr="00E9250F" w:rsidRDefault="004D781C" w:rsidP="00F61206">
      <w:pPr>
        <w:pStyle w:val="NoSpacing"/>
        <w:rPr>
          <w:rFonts w:ascii="Times New Roman" w:hAnsi="Times New Roman" w:cs="Times New Roman"/>
          <w:sz w:val="24"/>
          <w:szCs w:val="24"/>
          <w:u w:val="single"/>
        </w:rPr>
      </w:pPr>
    </w:p>
    <w:p w:rsidR="002179B1" w:rsidRPr="00E9250F" w:rsidRDefault="00951849" w:rsidP="00E177B7">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r w:rsidR="00B81427" w:rsidRPr="00E9250F">
        <w:rPr>
          <w:rFonts w:ascii="Times New Roman" w:hAnsi="Times New Roman" w:cs="Times New Roman"/>
          <w:sz w:val="24"/>
          <w:szCs w:val="24"/>
          <w:lang w:eastAsia="ko-KR"/>
        </w:rPr>
        <w:t>) Maternal</w:t>
      </w:r>
    </w:p>
    <w:p w:rsidR="00B81427" w:rsidRPr="00E9250F" w:rsidRDefault="002179B1" w:rsidP="002179B1">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Additional maternal deaths prevented by intervention relative to impact year</w:t>
      </w:r>
    </w:p>
    <w:p w:rsidR="002179B1" w:rsidRPr="00E9250F" w:rsidRDefault="002179B1" w:rsidP="002179B1">
      <w:pPr>
        <w:pStyle w:val="NoSpacing"/>
        <w:jc w:val="center"/>
        <w:rPr>
          <w:rFonts w:ascii="Times New Roman" w:hAnsi="Times New Roman" w:cs="Times New Roman"/>
          <w:sz w:val="24"/>
          <w:szCs w:val="24"/>
          <w:lang w:eastAsia="ko-KR"/>
        </w:rPr>
      </w:pPr>
    </w:p>
    <w:tbl>
      <w:tblPr>
        <w:tblStyle w:val="TableGrid"/>
        <w:tblW w:w="0" w:type="auto"/>
        <w:jc w:val="center"/>
        <w:tblLayout w:type="fixed"/>
        <w:tblLook w:val="04A0"/>
      </w:tblPr>
      <w:tblGrid>
        <w:gridCol w:w="4527"/>
        <w:gridCol w:w="803"/>
        <w:gridCol w:w="804"/>
        <w:gridCol w:w="804"/>
        <w:gridCol w:w="804"/>
        <w:gridCol w:w="804"/>
        <w:gridCol w:w="804"/>
      </w:tblGrid>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b/>
                <w:sz w:val="24"/>
                <w:szCs w:val="24"/>
              </w:rPr>
            </w:pPr>
            <w:r w:rsidRPr="00E9250F">
              <w:rPr>
                <w:rFonts w:ascii="Times New Roman" w:hAnsi="Times New Roman" w:cs="Times New Roman"/>
                <w:b/>
                <w:sz w:val="24"/>
                <w:szCs w:val="24"/>
              </w:rPr>
              <w:t>Intervention</w:t>
            </w:r>
          </w:p>
        </w:tc>
        <w:tc>
          <w:tcPr>
            <w:tcW w:w="803" w:type="dxa"/>
            <w:noWrap/>
            <w:vAlign w:val="center"/>
            <w:hideMark/>
          </w:tcPr>
          <w:p w:rsidR="002179B1" w:rsidRPr="00E9250F" w:rsidRDefault="002179B1" w:rsidP="002179B1">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2009</w:t>
            </w:r>
          </w:p>
        </w:tc>
        <w:tc>
          <w:tcPr>
            <w:tcW w:w="804" w:type="dxa"/>
            <w:noWrap/>
            <w:vAlign w:val="center"/>
            <w:hideMark/>
          </w:tcPr>
          <w:p w:rsidR="002179B1" w:rsidRPr="00E9250F" w:rsidRDefault="002179B1" w:rsidP="002179B1">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2010</w:t>
            </w:r>
          </w:p>
        </w:tc>
        <w:tc>
          <w:tcPr>
            <w:tcW w:w="804" w:type="dxa"/>
            <w:noWrap/>
            <w:vAlign w:val="center"/>
            <w:hideMark/>
          </w:tcPr>
          <w:p w:rsidR="002179B1" w:rsidRPr="00E9250F" w:rsidRDefault="002179B1" w:rsidP="002179B1">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2011</w:t>
            </w:r>
          </w:p>
        </w:tc>
        <w:tc>
          <w:tcPr>
            <w:tcW w:w="804" w:type="dxa"/>
            <w:noWrap/>
            <w:vAlign w:val="center"/>
            <w:hideMark/>
          </w:tcPr>
          <w:p w:rsidR="002179B1" w:rsidRPr="00E9250F" w:rsidRDefault="002179B1" w:rsidP="002179B1">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2012</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2013</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w:t>
            </w: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Pregnancy</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proofErr w:type="spellStart"/>
            <w:r w:rsidRPr="00E9250F">
              <w:rPr>
                <w:rFonts w:ascii="Times New Roman" w:hAnsi="Times New Roman" w:cs="Times New Roman"/>
                <w:sz w:val="24"/>
                <w:szCs w:val="24"/>
              </w:rPr>
              <w:t>IPTp</w:t>
            </w:r>
            <w:proofErr w:type="spellEnd"/>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Hypertensive disorder case management</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Malaria case management</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MgSO4 management of pre-eclampsia</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shd w:val="clear" w:color="auto" w:fill="F2F2F2" w:themeFill="background1" w:themeFillShade="F2"/>
            <w:vAlign w:val="center"/>
          </w:tcPr>
          <w:p w:rsidR="002179B1" w:rsidRPr="00E9250F" w:rsidRDefault="007234D4" w:rsidP="002179B1">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16</w:t>
            </w: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shd w:val="pct15" w:color="auto" w:fill="FFFFFF"/>
              </w:rPr>
              <w:t>Childbirth</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Clean birth practices</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6</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11</w:t>
            </w:r>
          </w:p>
        </w:tc>
        <w:tc>
          <w:tcPr>
            <w:tcW w:w="804" w:type="dxa"/>
            <w:shd w:val="clear" w:color="auto" w:fill="F2F2F2" w:themeFill="background1" w:themeFillShade="F2"/>
            <w:vAlign w:val="center"/>
          </w:tcPr>
          <w:p w:rsidR="002179B1" w:rsidRPr="00E9250F" w:rsidRDefault="007234D4" w:rsidP="002179B1">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7</w:t>
            </w: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highlight w:val="yellow"/>
              </w:rPr>
              <w:t>Labor and delivery management</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84</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91</w:t>
            </w:r>
          </w:p>
        </w:tc>
        <w:tc>
          <w:tcPr>
            <w:tcW w:w="804" w:type="dxa"/>
            <w:shd w:val="clear" w:color="auto" w:fill="F2F2F2" w:themeFill="background1" w:themeFillShade="F2"/>
            <w:vAlign w:val="center"/>
          </w:tcPr>
          <w:p w:rsidR="002179B1" w:rsidRPr="00E9250F" w:rsidRDefault="007234D4" w:rsidP="002179B1">
            <w:pPr>
              <w:pStyle w:val="NoSpacing"/>
              <w:jc w:val="center"/>
              <w:rPr>
                <w:rFonts w:ascii="Times New Roman" w:hAnsi="Times New Roman" w:cs="Times New Roman"/>
                <w:sz w:val="24"/>
                <w:szCs w:val="24"/>
                <w:lang w:eastAsia="ko-KR"/>
              </w:rPr>
            </w:pPr>
            <w:r w:rsidRPr="00E9250F">
              <w:rPr>
                <w:rFonts w:ascii="Times New Roman" w:hAnsi="Times New Roman" w:cs="Times New Roman"/>
                <w:color w:val="FF0000"/>
                <w:sz w:val="24"/>
                <w:szCs w:val="24"/>
                <w:lang w:eastAsia="ko-KR"/>
              </w:rPr>
              <w:t>55</w:t>
            </w: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 xml:space="preserve">Antibiotics for </w:t>
            </w:r>
            <w:proofErr w:type="spellStart"/>
            <w:r w:rsidRPr="00E9250F">
              <w:rPr>
                <w:rFonts w:ascii="Times New Roman" w:hAnsi="Times New Roman" w:cs="Times New Roman"/>
                <w:sz w:val="24"/>
                <w:szCs w:val="24"/>
              </w:rPr>
              <w:t>pPRoM</w:t>
            </w:r>
            <w:proofErr w:type="spellEnd"/>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7</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8</w:t>
            </w:r>
          </w:p>
        </w:tc>
        <w:tc>
          <w:tcPr>
            <w:tcW w:w="804" w:type="dxa"/>
            <w:shd w:val="clear" w:color="auto" w:fill="F2F2F2" w:themeFill="background1" w:themeFillShade="F2"/>
            <w:vAlign w:val="center"/>
          </w:tcPr>
          <w:p w:rsidR="002179B1" w:rsidRPr="00E9250F" w:rsidRDefault="007234D4" w:rsidP="002179B1">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w:t>
            </w: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MgSO4 management of eclampsia</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23</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26</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rPr>
            </w:pPr>
          </w:p>
        </w:tc>
      </w:tr>
      <w:tr w:rsidR="002179B1" w:rsidRPr="00E9250F" w:rsidTr="00C65D7A">
        <w:trPr>
          <w:trHeight w:val="338"/>
          <w:jc w:val="center"/>
        </w:trPr>
        <w:tc>
          <w:tcPr>
            <w:tcW w:w="4527" w:type="dxa"/>
            <w:noWrap/>
            <w:vAlign w:val="center"/>
            <w:hideMark/>
          </w:tcPr>
          <w:p w:rsidR="002179B1" w:rsidRPr="00E9250F" w:rsidRDefault="002179B1" w:rsidP="002179B1">
            <w:pPr>
              <w:pStyle w:val="NoSpacing"/>
              <w:rPr>
                <w:rFonts w:ascii="Times New Roman" w:hAnsi="Times New Roman" w:cs="Times New Roman"/>
                <w:sz w:val="24"/>
                <w:szCs w:val="24"/>
              </w:rPr>
            </w:pPr>
            <w:r w:rsidRPr="00E9250F">
              <w:rPr>
                <w:rFonts w:ascii="Times New Roman" w:hAnsi="Times New Roman" w:cs="Times New Roman"/>
                <w:sz w:val="24"/>
                <w:szCs w:val="24"/>
              </w:rPr>
              <w:t>AMTSL</w:t>
            </w:r>
          </w:p>
        </w:tc>
        <w:tc>
          <w:tcPr>
            <w:tcW w:w="803"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804" w:type="dxa"/>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26</w:t>
            </w:r>
          </w:p>
        </w:tc>
        <w:tc>
          <w:tcPr>
            <w:tcW w:w="804" w:type="dxa"/>
            <w:shd w:val="clear" w:color="auto" w:fill="FDE9D9" w:themeFill="accent6" w:themeFillTint="33"/>
            <w:noWrap/>
            <w:vAlign w:val="center"/>
            <w:hideMark/>
          </w:tcPr>
          <w:p w:rsidR="002179B1" w:rsidRPr="00E9250F" w:rsidRDefault="002179B1" w:rsidP="002179B1">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29</w:t>
            </w:r>
          </w:p>
        </w:tc>
        <w:tc>
          <w:tcPr>
            <w:tcW w:w="804" w:type="dxa"/>
            <w:shd w:val="clear" w:color="auto" w:fill="F2F2F2" w:themeFill="background1" w:themeFillShade="F2"/>
            <w:vAlign w:val="center"/>
          </w:tcPr>
          <w:p w:rsidR="002179B1" w:rsidRPr="00E9250F" w:rsidRDefault="002179B1" w:rsidP="002179B1">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17</w:t>
            </w:r>
          </w:p>
        </w:tc>
      </w:tr>
    </w:tbl>
    <w:p w:rsidR="007234D4" w:rsidRPr="00E9250F" w:rsidRDefault="007234D4" w:rsidP="007234D4">
      <w:pPr>
        <w:pStyle w:val="NoSpacing"/>
        <w:rPr>
          <w:rFonts w:ascii="Times New Roman" w:hAnsi="Times New Roman" w:cs="Times New Roman"/>
          <w:sz w:val="24"/>
          <w:szCs w:val="24"/>
          <w:lang w:eastAsia="ko-KR"/>
        </w:rPr>
      </w:pPr>
    </w:p>
    <w:p w:rsidR="002F102C" w:rsidRPr="00E9250F" w:rsidRDefault="007234D4" w:rsidP="002F102C">
      <w:pPr>
        <w:pStyle w:val="NoSpacing"/>
        <w:numPr>
          <w:ilvl w:val="0"/>
          <w:numId w:val="9"/>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 xml:space="preserve">According to the data analysis from </w:t>
      </w:r>
      <w:proofErr w:type="spellStart"/>
      <w:r w:rsidRPr="00E9250F">
        <w:rPr>
          <w:rFonts w:ascii="Times New Roman" w:hAnsi="Times New Roman" w:cs="Times New Roman"/>
          <w:sz w:val="24"/>
          <w:szCs w:val="24"/>
          <w:lang w:eastAsia="ko-KR"/>
        </w:rPr>
        <w:t>LiST</w:t>
      </w:r>
      <w:proofErr w:type="spellEnd"/>
      <w:r w:rsidRPr="00E9250F">
        <w:rPr>
          <w:rFonts w:ascii="Times New Roman" w:hAnsi="Times New Roman" w:cs="Times New Roman"/>
          <w:sz w:val="24"/>
          <w:szCs w:val="24"/>
          <w:lang w:eastAsia="ko-KR"/>
        </w:rPr>
        <w:t xml:space="preserve">, it was found that the interventions of </w:t>
      </w:r>
      <w:r w:rsidRPr="00E9250F">
        <w:rPr>
          <w:rFonts w:ascii="Times New Roman" w:hAnsi="Times New Roman" w:cs="Times New Roman"/>
          <w:sz w:val="24"/>
          <w:szCs w:val="24"/>
          <w:u w:val="single"/>
          <w:lang w:eastAsia="ko-KR"/>
        </w:rPr>
        <w:t>labor and delivery management</w:t>
      </w:r>
      <w:r w:rsidR="00157DF8" w:rsidRPr="00E9250F">
        <w:rPr>
          <w:rFonts w:ascii="Times New Roman" w:hAnsi="Times New Roman" w:cs="Times New Roman"/>
          <w:sz w:val="24"/>
          <w:szCs w:val="24"/>
          <w:lang w:eastAsia="ko-KR"/>
        </w:rPr>
        <w:t xml:space="preserve"> (55</w:t>
      </w:r>
      <w:r w:rsidRPr="00E9250F">
        <w:rPr>
          <w:rFonts w:ascii="Times New Roman" w:hAnsi="Times New Roman" w:cs="Times New Roman"/>
          <w:sz w:val="24"/>
          <w:szCs w:val="24"/>
          <w:lang w:eastAsia="ko-KR"/>
        </w:rPr>
        <w:t xml:space="preserve">%) </w:t>
      </w:r>
      <w:r w:rsidR="00157DF8" w:rsidRPr="00E9250F">
        <w:rPr>
          <w:rFonts w:ascii="Times New Roman" w:hAnsi="Times New Roman" w:cs="Times New Roman"/>
          <w:sz w:val="24"/>
          <w:szCs w:val="24"/>
          <w:lang w:eastAsia="ko-KR"/>
        </w:rPr>
        <w:t>had</w:t>
      </w:r>
      <w:r w:rsidRPr="00E9250F">
        <w:rPr>
          <w:rFonts w:ascii="Times New Roman" w:hAnsi="Times New Roman" w:cs="Times New Roman"/>
          <w:sz w:val="24"/>
          <w:szCs w:val="24"/>
          <w:lang w:eastAsia="ko-KR"/>
        </w:rPr>
        <w:t xml:space="preserve"> the largest impact in</w:t>
      </w:r>
      <w:r w:rsidR="00157DF8" w:rsidRPr="00E9250F">
        <w:rPr>
          <w:rFonts w:ascii="Times New Roman" w:hAnsi="Times New Roman" w:cs="Times New Roman"/>
          <w:sz w:val="24"/>
          <w:szCs w:val="24"/>
          <w:lang w:eastAsia="ko-KR"/>
        </w:rPr>
        <w:t xml:space="preserve"> preventing maternal deaths in 2013</w:t>
      </w:r>
      <w:r w:rsidR="002F102C" w:rsidRPr="00E9250F">
        <w:rPr>
          <w:rFonts w:ascii="Times New Roman" w:hAnsi="Times New Roman" w:cs="Times New Roman"/>
          <w:sz w:val="24"/>
          <w:szCs w:val="24"/>
          <w:lang w:eastAsia="ko-KR"/>
        </w:rPr>
        <w:t>.</w:t>
      </w:r>
    </w:p>
    <w:p w:rsidR="00E2160B" w:rsidRPr="00E9250F" w:rsidRDefault="00BB1541" w:rsidP="00F61206">
      <w:pPr>
        <w:pStyle w:val="NoSpacing"/>
        <w:numPr>
          <w:ilvl w:val="0"/>
          <w:numId w:val="9"/>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 xml:space="preserve">It was found that intervention of labor and delivery management had the largest impact preventing neonatal, child, and maternal lives in 2013, which is the end year of the </w:t>
      </w:r>
      <w:proofErr w:type="spellStart"/>
      <w:r w:rsidRPr="00E9250F">
        <w:rPr>
          <w:rFonts w:ascii="Times New Roman" w:hAnsi="Times New Roman" w:cs="Times New Roman"/>
          <w:sz w:val="24"/>
          <w:szCs w:val="24"/>
          <w:lang w:eastAsia="ko-KR"/>
        </w:rPr>
        <w:t>Nehnwaa</w:t>
      </w:r>
      <w:proofErr w:type="spellEnd"/>
      <w:r w:rsidRPr="00E9250F">
        <w:rPr>
          <w:rFonts w:ascii="Times New Roman" w:hAnsi="Times New Roman" w:cs="Times New Roman"/>
          <w:sz w:val="24"/>
          <w:szCs w:val="24"/>
          <w:lang w:eastAsia="ko-KR"/>
        </w:rPr>
        <w:t xml:space="preserve"> project.</w:t>
      </w:r>
      <w:r w:rsidR="002F2B9B" w:rsidRPr="00E9250F">
        <w:rPr>
          <w:rFonts w:ascii="Times New Roman" w:hAnsi="Times New Roman" w:cs="Times New Roman"/>
          <w:sz w:val="24"/>
          <w:szCs w:val="24"/>
          <w:lang w:eastAsia="ko-KR"/>
        </w:rPr>
        <w:t xml:space="preserve"> Following table shows the types </w:t>
      </w:r>
      <w:r w:rsidR="0057753B" w:rsidRPr="00E9250F">
        <w:rPr>
          <w:rFonts w:ascii="Times New Roman" w:hAnsi="Times New Roman" w:cs="Times New Roman"/>
          <w:sz w:val="24"/>
          <w:szCs w:val="24"/>
          <w:lang w:eastAsia="ko-KR"/>
        </w:rPr>
        <w:t>of labor and delivery care services provided in Liberia’s Basic Pack of Health Services (BPHS).</w:t>
      </w:r>
    </w:p>
    <w:p w:rsidR="0057753B" w:rsidRPr="00E9250F" w:rsidRDefault="0057753B" w:rsidP="0057753B">
      <w:pPr>
        <w:pStyle w:val="NoSpacing"/>
        <w:jc w:val="center"/>
        <w:rPr>
          <w:rFonts w:ascii="Times New Roman" w:hAnsi="Times New Roman" w:cs="Times New Roman"/>
          <w:sz w:val="24"/>
          <w:szCs w:val="24"/>
          <w:lang w:eastAsia="ko-KR"/>
        </w:rPr>
      </w:pPr>
      <w:r w:rsidRPr="00E9250F">
        <w:rPr>
          <w:rFonts w:ascii="Times New Roman" w:hAnsi="Times New Roman" w:cs="Times New Roman"/>
          <w:noProof/>
          <w:sz w:val="24"/>
          <w:szCs w:val="24"/>
        </w:rPr>
        <w:lastRenderedPageBreak/>
        <w:drawing>
          <wp:inline distT="0" distB="0" distL="0" distR="0">
            <wp:extent cx="5292000" cy="4348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2000" cy="4348800"/>
                    </a:xfrm>
                    <a:prstGeom prst="rect">
                      <a:avLst/>
                    </a:prstGeom>
                    <a:noFill/>
                    <a:ln>
                      <a:noFill/>
                    </a:ln>
                  </pic:spPr>
                </pic:pic>
              </a:graphicData>
            </a:graphic>
          </wp:inline>
        </w:drawing>
      </w:r>
    </w:p>
    <w:p w:rsidR="007234D4" w:rsidRPr="00E9250F" w:rsidRDefault="000D7CC2" w:rsidP="00F61206">
      <w:pPr>
        <w:pStyle w:val="NoSpacing"/>
        <w:rPr>
          <w:rFonts w:ascii="Times New Roman" w:hAnsi="Times New Roman" w:cs="Times New Roman"/>
          <w:i/>
          <w:sz w:val="24"/>
          <w:szCs w:val="24"/>
          <w:lang w:eastAsia="ko-KR"/>
        </w:rPr>
      </w:pPr>
      <w:r w:rsidRPr="00E9250F">
        <w:rPr>
          <w:rFonts w:ascii="Times New Roman" w:hAnsi="Times New Roman" w:cs="Times New Roman"/>
          <w:i/>
          <w:sz w:val="24"/>
          <w:szCs w:val="24"/>
          <w:lang w:eastAsia="ko-KR"/>
        </w:rPr>
        <w:t>Resource: http://apps.who.int/medicinedocs/documents/s19808en/s19808en.pdf</w:t>
      </w:r>
    </w:p>
    <w:p w:rsidR="00317716" w:rsidRPr="00E9250F" w:rsidRDefault="00317716" w:rsidP="00F61206">
      <w:pPr>
        <w:pStyle w:val="NoSpacing"/>
        <w:rPr>
          <w:rFonts w:ascii="Times New Roman" w:hAnsi="Times New Roman" w:cs="Times New Roman"/>
          <w:b/>
          <w:sz w:val="24"/>
          <w:szCs w:val="24"/>
          <w:lang w:eastAsia="ko-KR"/>
        </w:rPr>
      </w:pPr>
    </w:p>
    <w:p w:rsidR="00317716" w:rsidRPr="00E9250F" w:rsidRDefault="00317716" w:rsidP="00F61206">
      <w:pPr>
        <w:pStyle w:val="NoSpacing"/>
        <w:rPr>
          <w:rFonts w:ascii="Times New Roman" w:hAnsi="Times New Roman" w:cs="Times New Roman"/>
          <w:b/>
          <w:sz w:val="24"/>
          <w:szCs w:val="24"/>
          <w:lang w:eastAsia="ko-KR"/>
        </w:rPr>
      </w:pPr>
    </w:p>
    <w:p w:rsidR="0057753B" w:rsidRPr="00E9250F" w:rsidRDefault="000D7CC2" w:rsidP="00F61206">
      <w:pPr>
        <w:pStyle w:val="NoSpacing"/>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 xml:space="preserve">2. </w:t>
      </w:r>
      <w:proofErr w:type="spellStart"/>
      <w:r w:rsidRPr="00E9250F">
        <w:rPr>
          <w:rFonts w:ascii="Times New Roman" w:hAnsi="Times New Roman" w:cs="Times New Roman"/>
          <w:b/>
          <w:sz w:val="24"/>
          <w:szCs w:val="24"/>
          <w:lang w:eastAsia="ko-KR"/>
        </w:rPr>
        <w:t>Nehnwaa</w:t>
      </w:r>
      <w:proofErr w:type="spellEnd"/>
      <w:r w:rsidRPr="00E9250F">
        <w:rPr>
          <w:rFonts w:ascii="Times New Roman" w:hAnsi="Times New Roman" w:cs="Times New Roman"/>
          <w:b/>
          <w:sz w:val="24"/>
          <w:szCs w:val="24"/>
          <w:lang w:eastAsia="ko-KR"/>
        </w:rPr>
        <w:t xml:space="preserve"> </w:t>
      </w:r>
      <w:proofErr w:type="spellStart"/>
      <w:r w:rsidRPr="00E9250F">
        <w:rPr>
          <w:rFonts w:ascii="Times New Roman" w:hAnsi="Times New Roman" w:cs="Times New Roman"/>
          <w:b/>
          <w:sz w:val="24"/>
          <w:szCs w:val="24"/>
          <w:lang w:eastAsia="ko-KR"/>
        </w:rPr>
        <w:t>Subnational</w:t>
      </w:r>
      <w:proofErr w:type="spellEnd"/>
      <w:r w:rsidRPr="00E9250F">
        <w:rPr>
          <w:rFonts w:ascii="Times New Roman" w:hAnsi="Times New Roman" w:cs="Times New Roman"/>
          <w:b/>
          <w:sz w:val="24"/>
          <w:szCs w:val="24"/>
          <w:lang w:eastAsia="ko-KR"/>
        </w:rPr>
        <w:t xml:space="preserve"> Projection (2009-2013)</w:t>
      </w:r>
    </w:p>
    <w:p w:rsidR="005045E8" w:rsidRPr="00E9250F" w:rsidRDefault="005045E8" w:rsidP="00F61206">
      <w:pPr>
        <w:pStyle w:val="NoSpacing"/>
        <w:rPr>
          <w:rFonts w:ascii="Times New Roman" w:hAnsi="Times New Roman" w:cs="Times New Roman"/>
          <w:b/>
          <w:sz w:val="24"/>
          <w:szCs w:val="24"/>
          <w:lang w:eastAsia="ko-KR"/>
        </w:rPr>
      </w:pPr>
    </w:p>
    <w:tbl>
      <w:tblPr>
        <w:tblStyle w:val="TableGrid"/>
        <w:tblW w:w="0" w:type="auto"/>
        <w:tblLook w:val="04A0"/>
      </w:tblPr>
      <w:tblGrid>
        <w:gridCol w:w="846"/>
        <w:gridCol w:w="1134"/>
        <w:gridCol w:w="1134"/>
        <w:gridCol w:w="1176"/>
      </w:tblGrid>
      <w:tr w:rsidR="00BB15C3" w:rsidRPr="00E9250F" w:rsidTr="006C030C">
        <w:tc>
          <w:tcPr>
            <w:tcW w:w="846" w:type="dxa"/>
            <w:shd w:val="clear" w:color="auto" w:fill="F2F2F2" w:themeFill="background1" w:themeFillShade="F2"/>
            <w:vAlign w:val="center"/>
          </w:tcPr>
          <w:p w:rsidR="00BB15C3" w:rsidRPr="00E9250F" w:rsidRDefault="00BB15C3" w:rsidP="006C030C">
            <w:pPr>
              <w:pStyle w:val="NoSpacing"/>
              <w:jc w:val="center"/>
              <w:rPr>
                <w:rFonts w:ascii="Times New Roman" w:hAnsi="Times New Roman" w:cs="Times New Roman"/>
                <w:b/>
                <w:sz w:val="24"/>
                <w:szCs w:val="24"/>
                <w:lang w:eastAsia="ko-KR"/>
              </w:rPr>
            </w:pPr>
          </w:p>
        </w:tc>
        <w:tc>
          <w:tcPr>
            <w:tcW w:w="2268" w:type="dxa"/>
            <w:gridSpan w:val="2"/>
            <w:shd w:val="clear" w:color="auto" w:fill="F2F2F2" w:themeFill="background1" w:themeFillShade="F2"/>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Children under 5 yrs</w:t>
            </w:r>
          </w:p>
        </w:tc>
        <w:tc>
          <w:tcPr>
            <w:tcW w:w="1134" w:type="dxa"/>
            <w:shd w:val="clear" w:color="auto" w:fill="F2F2F2" w:themeFill="background1" w:themeFillShade="F2"/>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Maternal</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Year</w:t>
            </w:r>
          </w:p>
        </w:tc>
        <w:tc>
          <w:tcPr>
            <w:tcW w:w="1134" w:type="dxa"/>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&lt;1 month</w:t>
            </w:r>
          </w:p>
        </w:tc>
        <w:tc>
          <w:tcPr>
            <w:tcW w:w="1134" w:type="dxa"/>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1-59 months</w:t>
            </w:r>
          </w:p>
        </w:tc>
        <w:tc>
          <w:tcPr>
            <w:tcW w:w="1134" w:type="dxa"/>
            <w:vAlign w:val="center"/>
          </w:tcPr>
          <w:p w:rsidR="00BB15C3" w:rsidRPr="00E9250F" w:rsidRDefault="00BB15C3" w:rsidP="006C030C">
            <w:pPr>
              <w:pStyle w:val="NoSpacing"/>
              <w:jc w:val="center"/>
              <w:rPr>
                <w:rFonts w:ascii="Times New Roman" w:hAnsi="Times New Roman" w:cs="Times New Roman"/>
                <w:b/>
                <w:sz w:val="24"/>
                <w:szCs w:val="24"/>
                <w:lang w:eastAsia="ko-KR"/>
              </w:rPr>
            </w:pP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2009</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2010</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13</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2011</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27</w:t>
            </w:r>
          </w:p>
        </w:tc>
        <w:tc>
          <w:tcPr>
            <w:tcW w:w="1134"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2012</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14</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55</w:t>
            </w:r>
          </w:p>
        </w:tc>
        <w:tc>
          <w:tcPr>
            <w:tcW w:w="1134" w:type="dxa"/>
            <w:vAlign w:val="center"/>
          </w:tcPr>
          <w:p w:rsidR="00BB15C3" w:rsidRPr="00E9250F" w:rsidRDefault="00826700"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2013</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25</w:t>
            </w:r>
          </w:p>
        </w:tc>
        <w:tc>
          <w:tcPr>
            <w:tcW w:w="1134" w:type="dxa"/>
            <w:vAlign w:val="center"/>
          </w:tcPr>
          <w:p w:rsidR="00BB15C3" w:rsidRPr="00E9250F" w:rsidRDefault="00C16B64"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82</w:t>
            </w:r>
          </w:p>
        </w:tc>
        <w:tc>
          <w:tcPr>
            <w:tcW w:w="1134" w:type="dxa"/>
            <w:vAlign w:val="center"/>
          </w:tcPr>
          <w:p w:rsidR="00BB15C3" w:rsidRPr="00E9250F" w:rsidRDefault="00826700" w:rsidP="006C030C">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3</w:t>
            </w:r>
          </w:p>
        </w:tc>
      </w:tr>
      <w:tr w:rsidR="00BB15C3" w:rsidRPr="00E9250F" w:rsidTr="006C030C">
        <w:tc>
          <w:tcPr>
            <w:tcW w:w="846" w:type="dxa"/>
            <w:vAlign w:val="center"/>
          </w:tcPr>
          <w:p w:rsidR="00BB15C3" w:rsidRPr="00E9250F" w:rsidRDefault="00BB15C3" w:rsidP="006C030C">
            <w:pPr>
              <w:pStyle w:val="NoSpacing"/>
              <w:jc w:val="center"/>
              <w:rPr>
                <w:rFonts w:ascii="Times New Roman" w:hAnsi="Times New Roman" w:cs="Times New Roman"/>
                <w:sz w:val="24"/>
                <w:szCs w:val="24"/>
                <w:lang w:eastAsia="ko-KR"/>
              </w:rPr>
            </w:pPr>
          </w:p>
        </w:tc>
        <w:tc>
          <w:tcPr>
            <w:tcW w:w="1134" w:type="dxa"/>
            <w:vAlign w:val="center"/>
          </w:tcPr>
          <w:p w:rsidR="00BB15C3" w:rsidRPr="00E9250F" w:rsidRDefault="00F3297F" w:rsidP="00826700">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fldChar w:fldCharType="begin"/>
            </w:r>
            <w:r w:rsidR="00826700" w:rsidRPr="00E9250F">
              <w:rPr>
                <w:rFonts w:ascii="Times New Roman" w:hAnsi="Times New Roman" w:cs="Times New Roman"/>
                <w:sz w:val="24"/>
                <w:szCs w:val="24"/>
                <w:lang w:eastAsia="ko-KR"/>
              </w:rPr>
              <w:instrText xml:space="preserve"> =SUM(ABOVE) </w:instrText>
            </w:r>
            <w:r w:rsidRPr="00E9250F">
              <w:rPr>
                <w:rFonts w:ascii="Times New Roman" w:hAnsi="Times New Roman" w:cs="Times New Roman"/>
                <w:sz w:val="24"/>
                <w:szCs w:val="24"/>
                <w:lang w:eastAsia="ko-KR"/>
              </w:rPr>
              <w:fldChar w:fldCharType="separate"/>
            </w:r>
            <w:r w:rsidR="00826700" w:rsidRPr="00E9250F">
              <w:rPr>
                <w:rFonts w:ascii="Times New Roman" w:hAnsi="Times New Roman" w:cs="Times New Roman"/>
                <w:noProof/>
                <w:sz w:val="24"/>
                <w:szCs w:val="24"/>
                <w:lang w:eastAsia="ko-KR"/>
              </w:rPr>
              <w:t>42</w:t>
            </w:r>
            <w:r w:rsidRPr="00E9250F">
              <w:rPr>
                <w:rFonts w:ascii="Times New Roman" w:hAnsi="Times New Roman" w:cs="Times New Roman"/>
                <w:sz w:val="24"/>
                <w:szCs w:val="24"/>
                <w:lang w:eastAsia="ko-KR"/>
              </w:rPr>
              <w:fldChar w:fldCharType="end"/>
            </w:r>
          </w:p>
        </w:tc>
        <w:tc>
          <w:tcPr>
            <w:tcW w:w="1134" w:type="dxa"/>
            <w:vAlign w:val="center"/>
          </w:tcPr>
          <w:p w:rsidR="00BB15C3" w:rsidRPr="00E9250F" w:rsidRDefault="00F3297F" w:rsidP="00826700">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fldChar w:fldCharType="begin"/>
            </w:r>
            <w:r w:rsidR="00826700" w:rsidRPr="00E9250F">
              <w:rPr>
                <w:rFonts w:ascii="Times New Roman" w:hAnsi="Times New Roman" w:cs="Times New Roman"/>
                <w:sz w:val="24"/>
                <w:szCs w:val="24"/>
                <w:lang w:eastAsia="ko-KR"/>
              </w:rPr>
              <w:instrText xml:space="preserve"> =SUM(ABOVE) </w:instrText>
            </w:r>
            <w:r w:rsidRPr="00E9250F">
              <w:rPr>
                <w:rFonts w:ascii="Times New Roman" w:hAnsi="Times New Roman" w:cs="Times New Roman"/>
                <w:sz w:val="24"/>
                <w:szCs w:val="24"/>
                <w:lang w:eastAsia="ko-KR"/>
              </w:rPr>
              <w:fldChar w:fldCharType="separate"/>
            </w:r>
            <w:r w:rsidR="00826700" w:rsidRPr="00E9250F">
              <w:rPr>
                <w:rFonts w:ascii="Times New Roman" w:hAnsi="Times New Roman" w:cs="Times New Roman"/>
                <w:noProof/>
                <w:sz w:val="24"/>
                <w:szCs w:val="24"/>
                <w:lang w:eastAsia="ko-KR"/>
              </w:rPr>
              <w:t>177</w:t>
            </w:r>
            <w:r w:rsidRPr="00E9250F">
              <w:rPr>
                <w:rFonts w:ascii="Times New Roman" w:hAnsi="Times New Roman" w:cs="Times New Roman"/>
                <w:sz w:val="24"/>
                <w:szCs w:val="24"/>
                <w:lang w:eastAsia="ko-KR"/>
              </w:rPr>
              <w:fldChar w:fldCharType="end"/>
            </w:r>
          </w:p>
        </w:tc>
        <w:tc>
          <w:tcPr>
            <w:tcW w:w="1134" w:type="dxa"/>
            <w:vAlign w:val="center"/>
          </w:tcPr>
          <w:p w:rsidR="00BB15C3" w:rsidRPr="00E9250F" w:rsidRDefault="00826700" w:rsidP="00826700">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r>
      <w:tr w:rsidR="00BB15C3" w:rsidRPr="00E9250F" w:rsidTr="006C030C">
        <w:tc>
          <w:tcPr>
            <w:tcW w:w="846" w:type="dxa"/>
            <w:shd w:val="clear" w:color="auto" w:fill="F2F2F2" w:themeFill="background1" w:themeFillShade="F2"/>
            <w:vAlign w:val="center"/>
          </w:tcPr>
          <w:p w:rsidR="00BB15C3" w:rsidRPr="00E9250F" w:rsidRDefault="00BB15C3"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Total</w:t>
            </w:r>
          </w:p>
        </w:tc>
        <w:tc>
          <w:tcPr>
            <w:tcW w:w="3402" w:type="dxa"/>
            <w:gridSpan w:val="3"/>
            <w:shd w:val="clear" w:color="auto" w:fill="F2F2F2" w:themeFill="background1" w:themeFillShade="F2"/>
            <w:vAlign w:val="center"/>
          </w:tcPr>
          <w:p w:rsidR="00BB15C3" w:rsidRPr="00E9250F" w:rsidRDefault="00826700" w:rsidP="006C030C">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223</w:t>
            </w:r>
          </w:p>
        </w:tc>
      </w:tr>
    </w:tbl>
    <w:p w:rsidR="002F102C" w:rsidRDefault="002F102C" w:rsidP="00F61206">
      <w:pPr>
        <w:pStyle w:val="NoSpacing"/>
        <w:rPr>
          <w:rFonts w:ascii="Times New Roman" w:hAnsi="Times New Roman" w:cs="Times New Roman"/>
          <w:sz w:val="24"/>
          <w:szCs w:val="24"/>
          <w:u w:val="single"/>
        </w:rPr>
      </w:pPr>
    </w:p>
    <w:p w:rsidR="008C3727" w:rsidRDefault="008C3727" w:rsidP="00F61206">
      <w:pPr>
        <w:pStyle w:val="NoSpacing"/>
        <w:rPr>
          <w:rFonts w:ascii="Times New Roman" w:hAnsi="Times New Roman" w:cs="Times New Roman"/>
          <w:sz w:val="24"/>
          <w:szCs w:val="24"/>
          <w:u w:val="single"/>
        </w:rPr>
      </w:pPr>
    </w:p>
    <w:p w:rsidR="008C3727" w:rsidRDefault="008C3727" w:rsidP="00F61206">
      <w:pPr>
        <w:pStyle w:val="NoSpacing"/>
        <w:rPr>
          <w:rFonts w:ascii="Times New Roman" w:hAnsi="Times New Roman" w:cs="Times New Roman"/>
          <w:sz w:val="24"/>
          <w:szCs w:val="24"/>
          <w:u w:val="single"/>
        </w:rPr>
      </w:pPr>
    </w:p>
    <w:p w:rsidR="008C3727" w:rsidRDefault="008C3727" w:rsidP="00F61206">
      <w:pPr>
        <w:pStyle w:val="NoSpacing"/>
        <w:rPr>
          <w:rFonts w:ascii="Times New Roman" w:hAnsi="Times New Roman" w:cs="Times New Roman"/>
          <w:sz w:val="24"/>
          <w:szCs w:val="24"/>
          <w:u w:val="single"/>
        </w:rPr>
      </w:pPr>
    </w:p>
    <w:p w:rsidR="008C3727" w:rsidRPr="00E9250F" w:rsidRDefault="008C3727" w:rsidP="00F61206">
      <w:pPr>
        <w:pStyle w:val="NoSpacing"/>
        <w:rPr>
          <w:rFonts w:ascii="Times New Roman" w:hAnsi="Times New Roman" w:cs="Times New Roman"/>
          <w:sz w:val="24"/>
          <w:szCs w:val="24"/>
          <w:u w:val="single"/>
        </w:rPr>
      </w:pPr>
    </w:p>
    <w:p w:rsidR="00C16B64" w:rsidRPr="00E9250F" w:rsidRDefault="00B52722" w:rsidP="00F61206">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lastRenderedPageBreak/>
        <w:t>1) Child (0-60 months)</w:t>
      </w:r>
    </w:p>
    <w:p w:rsidR="00B52722" w:rsidRDefault="00B52722" w:rsidP="00F61206">
      <w:pPr>
        <w:pStyle w:val="NoSpacing"/>
        <w:rPr>
          <w:rFonts w:ascii="Times New Roman" w:hAnsi="Times New Roman" w:cs="Times New Roman"/>
          <w:sz w:val="24"/>
          <w:szCs w:val="24"/>
          <w:lang w:eastAsia="ko-KR"/>
        </w:rPr>
      </w:pPr>
    </w:p>
    <w:p w:rsidR="00E9250F" w:rsidRPr="00E9250F" w:rsidRDefault="00E9250F" w:rsidP="00F61206">
      <w:pPr>
        <w:pStyle w:val="NoSpacing"/>
        <w:rPr>
          <w:rFonts w:ascii="Times New Roman" w:hAnsi="Times New Roman" w:cs="Times New Roman"/>
          <w:sz w:val="24"/>
          <w:szCs w:val="24"/>
          <w:lang w:eastAsia="ko-KR"/>
        </w:rPr>
      </w:pPr>
    </w:p>
    <w:p w:rsidR="00C16B64" w:rsidRPr="00E9250F" w:rsidRDefault="00C16B64" w:rsidP="00E9250F">
      <w:pPr>
        <w:pStyle w:val="NoSpacing"/>
        <w:jc w:val="center"/>
        <w:rPr>
          <w:rFonts w:ascii="Times New Roman" w:hAnsi="Times New Roman" w:cs="Times New Roman"/>
          <w:b/>
          <w:sz w:val="24"/>
          <w:szCs w:val="24"/>
        </w:rPr>
      </w:pPr>
      <w:r w:rsidRPr="00E9250F">
        <w:rPr>
          <w:rFonts w:ascii="Times New Roman" w:hAnsi="Times New Roman" w:cs="Times New Roman"/>
          <w:b/>
          <w:sz w:val="24"/>
          <w:szCs w:val="24"/>
        </w:rPr>
        <w:t>Additional deaths prevented in children under five years of age by intervention relative to impact year</w:t>
      </w:r>
      <w:r w:rsidR="00E9250F">
        <w:rPr>
          <w:rFonts w:ascii="Times New Roman" w:hAnsi="Times New Roman" w:cs="Times New Roman" w:hint="eastAsia"/>
          <w:b/>
          <w:sz w:val="24"/>
          <w:szCs w:val="24"/>
          <w:lang w:eastAsia="ko-KR"/>
        </w:rPr>
        <w:t xml:space="preserve"> </w:t>
      </w:r>
      <w:r w:rsidRPr="00E9250F">
        <w:rPr>
          <w:rFonts w:ascii="Times New Roman" w:hAnsi="Times New Roman" w:cs="Times New Roman"/>
          <w:b/>
          <w:sz w:val="24"/>
          <w:szCs w:val="24"/>
        </w:rPr>
        <w:t>(Total (0-60 months))</w:t>
      </w:r>
    </w:p>
    <w:p w:rsidR="00C16B64" w:rsidRPr="00E9250F" w:rsidRDefault="00C16B64" w:rsidP="00F61206">
      <w:pPr>
        <w:pStyle w:val="NoSpacing"/>
        <w:rPr>
          <w:rFonts w:ascii="Times New Roman" w:hAnsi="Times New Roman" w:cs="Times New Roman"/>
          <w:sz w:val="24"/>
          <w:szCs w:val="24"/>
          <w:u w:val="single"/>
        </w:rPr>
      </w:pPr>
    </w:p>
    <w:tbl>
      <w:tblPr>
        <w:tblStyle w:val="TableGrid"/>
        <w:tblW w:w="0" w:type="auto"/>
        <w:jc w:val="center"/>
        <w:tblLayout w:type="fixed"/>
        <w:tblLook w:val="04A0"/>
      </w:tblPr>
      <w:tblGrid>
        <w:gridCol w:w="5378"/>
        <w:gridCol w:w="662"/>
        <w:gridCol w:w="662"/>
        <w:gridCol w:w="662"/>
        <w:gridCol w:w="662"/>
        <w:gridCol w:w="662"/>
        <w:gridCol w:w="662"/>
      </w:tblGrid>
      <w:tr w:rsidR="005414B4" w:rsidRPr="00E9250F" w:rsidTr="00C65D7A">
        <w:trPr>
          <w:trHeight w:val="338"/>
          <w:jc w:val="center"/>
        </w:trPr>
        <w:tc>
          <w:tcPr>
            <w:tcW w:w="5378" w:type="dxa"/>
            <w:shd w:val="clear" w:color="auto" w:fill="F2F2F2" w:themeFill="background1" w:themeFillShade="F2"/>
            <w:noWrap/>
            <w:vAlign w:val="center"/>
          </w:tcPr>
          <w:p w:rsidR="005414B4" w:rsidRPr="00E9250F" w:rsidRDefault="005414B4" w:rsidP="00C16B64">
            <w:pPr>
              <w:pStyle w:val="NoSpacing"/>
              <w:rPr>
                <w:rFonts w:ascii="Times New Roman" w:hAnsi="Times New Roman" w:cs="Times New Roman"/>
                <w:sz w:val="24"/>
                <w:szCs w:val="24"/>
              </w:rPr>
            </w:pPr>
          </w:p>
        </w:tc>
        <w:tc>
          <w:tcPr>
            <w:tcW w:w="662" w:type="dxa"/>
            <w:shd w:val="clear" w:color="auto" w:fill="F2F2F2" w:themeFill="background1" w:themeFillShade="F2"/>
            <w:noWrap/>
            <w:vAlign w:val="center"/>
          </w:tcPr>
          <w:p w:rsidR="005414B4" w:rsidRPr="00B54457" w:rsidRDefault="005414B4" w:rsidP="005414B4">
            <w:pPr>
              <w:pStyle w:val="NoSpacing"/>
              <w:jc w:val="center"/>
              <w:rPr>
                <w:rFonts w:ascii="Times New Roman" w:hAnsi="Times New Roman" w:cs="Times New Roman"/>
                <w:b/>
              </w:rPr>
            </w:pPr>
            <w:r w:rsidRPr="00B54457">
              <w:rPr>
                <w:rFonts w:ascii="Times New Roman" w:hAnsi="Times New Roman" w:cs="Times New Roman"/>
                <w:b/>
              </w:rPr>
              <w:t>2009</w:t>
            </w:r>
          </w:p>
        </w:tc>
        <w:tc>
          <w:tcPr>
            <w:tcW w:w="662" w:type="dxa"/>
            <w:shd w:val="clear" w:color="auto" w:fill="F2F2F2" w:themeFill="background1" w:themeFillShade="F2"/>
            <w:noWrap/>
            <w:vAlign w:val="center"/>
          </w:tcPr>
          <w:p w:rsidR="005414B4" w:rsidRPr="00B54457" w:rsidRDefault="005414B4" w:rsidP="005414B4">
            <w:pPr>
              <w:pStyle w:val="NoSpacing"/>
              <w:jc w:val="center"/>
              <w:rPr>
                <w:rFonts w:ascii="Times New Roman" w:hAnsi="Times New Roman" w:cs="Times New Roman"/>
                <w:b/>
              </w:rPr>
            </w:pPr>
            <w:r w:rsidRPr="00B54457">
              <w:rPr>
                <w:rFonts w:ascii="Times New Roman" w:hAnsi="Times New Roman" w:cs="Times New Roman"/>
                <w:b/>
              </w:rPr>
              <w:t>2010</w:t>
            </w:r>
          </w:p>
        </w:tc>
        <w:tc>
          <w:tcPr>
            <w:tcW w:w="662" w:type="dxa"/>
            <w:shd w:val="clear" w:color="auto" w:fill="F2F2F2" w:themeFill="background1" w:themeFillShade="F2"/>
            <w:noWrap/>
            <w:vAlign w:val="center"/>
          </w:tcPr>
          <w:p w:rsidR="005414B4" w:rsidRPr="00B54457" w:rsidRDefault="005414B4" w:rsidP="005414B4">
            <w:pPr>
              <w:pStyle w:val="NoSpacing"/>
              <w:jc w:val="center"/>
              <w:rPr>
                <w:rFonts w:ascii="Times New Roman" w:hAnsi="Times New Roman" w:cs="Times New Roman"/>
                <w:b/>
              </w:rPr>
            </w:pPr>
            <w:r w:rsidRPr="00B54457">
              <w:rPr>
                <w:rFonts w:ascii="Times New Roman" w:hAnsi="Times New Roman" w:cs="Times New Roman"/>
                <w:b/>
              </w:rPr>
              <w:t>2011</w:t>
            </w:r>
          </w:p>
        </w:tc>
        <w:tc>
          <w:tcPr>
            <w:tcW w:w="662" w:type="dxa"/>
            <w:shd w:val="clear" w:color="auto" w:fill="F2F2F2" w:themeFill="background1" w:themeFillShade="F2"/>
            <w:noWrap/>
            <w:vAlign w:val="center"/>
          </w:tcPr>
          <w:p w:rsidR="005414B4" w:rsidRPr="00B54457" w:rsidRDefault="005414B4" w:rsidP="005414B4">
            <w:pPr>
              <w:pStyle w:val="NoSpacing"/>
              <w:jc w:val="center"/>
              <w:rPr>
                <w:rFonts w:ascii="Times New Roman" w:hAnsi="Times New Roman" w:cs="Times New Roman"/>
                <w:b/>
              </w:rPr>
            </w:pPr>
            <w:r w:rsidRPr="00B54457">
              <w:rPr>
                <w:rFonts w:ascii="Times New Roman" w:hAnsi="Times New Roman" w:cs="Times New Roman"/>
                <w:b/>
              </w:rPr>
              <w:t>2012</w:t>
            </w:r>
          </w:p>
        </w:tc>
        <w:tc>
          <w:tcPr>
            <w:tcW w:w="662" w:type="dxa"/>
            <w:shd w:val="clear" w:color="auto" w:fill="FDE9D9" w:themeFill="accent6" w:themeFillTint="33"/>
            <w:noWrap/>
            <w:vAlign w:val="center"/>
          </w:tcPr>
          <w:p w:rsidR="005414B4" w:rsidRPr="00B54457" w:rsidRDefault="005414B4" w:rsidP="005414B4">
            <w:pPr>
              <w:pStyle w:val="NoSpacing"/>
              <w:jc w:val="center"/>
              <w:rPr>
                <w:rFonts w:ascii="Times New Roman" w:hAnsi="Times New Roman" w:cs="Times New Roman"/>
                <w:b/>
              </w:rPr>
            </w:pPr>
            <w:r w:rsidRPr="00B54457">
              <w:rPr>
                <w:rFonts w:ascii="Times New Roman" w:hAnsi="Times New Roman" w:cs="Times New Roman"/>
                <w:b/>
              </w:rPr>
              <w:t>2013</w:t>
            </w:r>
          </w:p>
        </w:tc>
        <w:tc>
          <w:tcPr>
            <w:tcW w:w="662" w:type="dxa"/>
            <w:shd w:val="clear" w:color="auto" w:fill="F2F2F2" w:themeFill="background1" w:themeFillShade="F2"/>
            <w:vAlign w:val="center"/>
          </w:tcPr>
          <w:p w:rsidR="005414B4" w:rsidRPr="00B54457" w:rsidRDefault="005414B4" w:rsidP="005414B4">
            <w:pPr>
              <w:pStyle w:val="NoSpacing"/>
              <w:jc w:val="center"/>
              <w:rPr>
                <w:rFonts w:ascii="Times New Roman" w:hAnsi="Times New Roman" w:cs="Times New Roman"/>
                <w:b/>
                <w:lang w:eastAsia="ko-KR"/>
              </w:rPr>
            </w:pPr>
            <w:r w:rsidRPr="00B54457">
              <w:rPr>
                <w:rFonts w:ascii="Times New Roman" w:hAnsi="Times New Roman" w:cs="Times New Roman"/>
                <w:b/>
                <w:lang w:eastAsia="ko-KR"/>
              </w:rPr>
              <w:t>%</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b/>
                <w:sz w:val="24"/>
                <w:szCs w:val="24"/>
              </w:rPr>
            </w:pPr>
            <w:r w:rsidRPr="00E9250F">
              <w:rPr>
                <w:rFonts w:ascii="Times New Roman" w:hAnsi="Times New Roman" w:cs="Times New Roman"/>
                <w:b/>
                <w:sz w:val="24"/>
                <w:szCs w:val="24"/>
                <w:shd w:val="pct15" w:color="auto" w:fill="FFFFFF"/>
              </w:rPr>
              <w:t>Pregnancy</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rPr>
            </w:pP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proofErr w:type="spellStart"/>
            <w:r w:rsidRPr="00E9250F">
              <w:rPr>
                <w:rFonts w:ascii="Times New Roman" w:hAnsi="Times New Roman" w:cs="Times New Roman"/>
                <w:sz w:val="24"/>
                <w:szCs w:val="24"/>
              </w:rPr>
              <w:t>IPTp</w:t>
            </w:r>
            <w:proofErr w:type="spellEnd"/>
            <w:r w:rsidRPr="00E9250F">
              <w:rPr>
                <w:rFonts w:ascii="Times New Roman" w:hAnsi="Times New Roman" w:cs="Times New Roman"/>
                <w:sz w:val="24"/>
                <w:szCs w:val="24"/>
              </w:rPr>
              <w:t xml:space="preserve"> - Intermittent preventive treatment of malaria during pregnancy</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Syphilis detection and treatment</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PMTCT - Prevention of mother to child transmission of HIV (including breastfeeding choices)</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b/>
                <w:sz w:val="24"/>
                <w:szCs w:val="24"/>
              </w:rPr>
            </w:pPr>
            <w:r w:rsidRPr="00E9250F">
              <w:rPr>
                <w:rFonts w:ascii="Times New Roman" w:hAnsi="Times New Roman" w:cs="Times New Roman"/>
                <w:b/>
                <w:sz w:val="24"/>
                <w:szCs w:val="24"/>
                <w:shd w:val="pct15" w:color="auto" w:fill="FFFFFF"/>
              </w:rPr>
              <w:t>Childbirth</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rPr>
            </w:pP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Clean birth practices</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Immediate assessment and stimulation</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5</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Labor and delivery management</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5</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10</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9</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b/>
                <w:sz w:val="24"/>
                <w:szCs w:val="24"/>
              </w:rPr>
            </w:pPr>
            <w:r w:rsidRPr="00E9250F">
              <w:rPr>
                <w:rFonts w:ascii="Times New Roman" w:hAnsi="Times New Roman" w:cs="Times New Roman"/>
                <w:b/>
                <w:sz w:val="24"/>
                <w:szCs w:val="24"/>
                <w:shd w:val="pct15" w:color="auto" w:fill="FFFFFF"/>
              </w:rPr>
              <w:t>Preventive</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rPr>
            </w:pP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Appropriate complementary feeding</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Vitamin A supplementation</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3</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Hand washing with soap</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9</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14</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13</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highlight w:val="yellow"/>
              </w:rPr>
              <w:t>ITN/IRS - Households protected from malaria</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27</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33</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color w:val="FF0000"/>
                <w:sz w:val="24"/>
                <w:szCs w:val="24"/>
                <w:lang w:eastAsia="ko-KR"/>
              </w:rPr>
              <w:t>31</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b/>
                <w:sz w:val="24"/>
                <w:szCs w:val="24"/>
              </w:rPr>
            </w:pPr>
            <w:r w:rsidRPr="00E9250F">
              <w:rPr>
                <w:rFonts w:ascii="Times New Roman" w:hAnsi="Times New Roman" w:cs="Times New Roman"/>
                <w:b/>
                <w:sz w:val="24"/>
                <w:szCs w:val="24"/>
                <w:shd w:val="pct15" w:color="auto" w:fill="FFFFFF"/>
              </w:rPr>
              <w:t>Vaccines</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rPr>
            </w:pP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DPT vaccine</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4</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Measles vaccine</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b/>
                <w:sz w:val="24"/>
                <w:szCs w:val="24"/>
              </w:rPr>
            </w:pPr>
            <w:r w:rsidRPr="00E9250F">
              <w:rPr>
                <w:rFonts w:ascii="Times New Roman" w:hAnsi="Times New Roman" w:cs="Times New Roman"/>
                <w:b/>
                <w:sz w:val="24"/>
                <w:szCs w:val="24"/>
                <w:shd w:val="pct15" w:color="auto" w:fill="FFFFFF"/>
              </w:rPr>
              <w:t>Curative after birth</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rPr>
            </w:pP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highlight w:val="yellow"/>
              </w:rPr>
              <w:t>ORS - oral rehydration solution</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13</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22</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color w:val="FF0000"/>
                <w:sz w:val="24"/>
                <w:szCs w:val="24"/>
                <w:lang w:eastAsia="ko-KR"/>
              </w:rPr>
              <w:t>21</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Zinc for treatment of diarrhea</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2</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Vitamin A for treatment of measles</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1</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proofErr w:type="spellStart"/>
            <w:r w:rsidRPr="00E9250F">
              <w:rPr>
                <w:rFonts w:ascii="Times New Roman" w:hAnsi="Times New Roman" w:cs="Times New Roman"/>
                <w:sz w:val="24"/>
                <w:szCs w:val="24"/>
              </w:rPr>
              <w:t>Cotrimoxazole</w:t>
            </w:r>
            <w:proofErr w:type="spellEnd"/>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5414B4" w:rsidRPr="00E9250F" w:rsidTr="00C65D7A">
        <w:trPr>
          <w:trHeight w:val="338"/>
          <w:jc w:val="center"/>
        </w:trPr>
        <w:tc>
          <w:tcPr>
            <w:tcW w:w="5378" w:type="dxa"/>
            <w:noWrap/>
            <w:vAlign w:val="center"/>
            <w:hideMark/>
          </w:tcPr>
          <w:p w:rsidR="005414B4" w:rsidRPr="00E9250F" w:rsidRDefault="005414B4" w:rsidP="00C16B64">
            <w:pPr>
              <w:pStyle w:val="NoSpacing"/>
              <w:rPr>
                <w:rFonts w:ascii="Times New Roman" w:hAnsi="Times New Roman" w:cs="Times New Roman"/>
                <w:sz w:val="24"/>
                <w:szCs w:val="24"/>
              </w:rPr>
            </w:pPr>
            <w:r w:rsidRPr="00E9250F">
              <w:rPr>
                <w:rFonts w:ascii="Times New Roman" w:hAnsi="Times New Roman" w:cs="Times New Roman"/>
                <w:sz w:val="24"/>
                <w:szCs w:val="24"/>
              </w:rPr>
              <w:t>ART</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DE9D9" w:themeFill="accent6" w:themeFillTint="33"/>
            <w:noWrap/>
            <w:vAlign w:val="center"/>
            <w:hideMark/>
          </w:tcPr>
          <w:p w:rsidR="005414B4" w:rsidRPr="00E9250F" w:rsidRDefault="005414B4" w:rsidP="005414B4">
            <w:pPr>
              <w:pStyle w:val="NoSpacing"/>
              <w:jc w:val="center"/>
              <w:rPr>
                <w:rFonts w:ascii="Times New Roman" w:hAnsi="Times New Roman" w:cs="Times New Roman"/>
                <w:sz w:val="24"/>
                <w:szCs w:val="24"/>
              </w:rPr>
            </w:pPr>
            <w:r w:rsidRPr="00E9250F">
              <w:rPr>
                <w:rFonts w:ascii="Times New Roman" w:hAnsi="Times New Roman" w:cs="Times New Roman"/>
                <w:sz w:val="24"/>
                <w:szCs w:val="24"/>
              </w:rPr>
              <w:t>0</w:t>
            </w:r>
          </w:p>
        </w:tc>
        <w:tc>
          <w:tcPr>
            <w:tcW w:w="662" w:type="dxa"/>
            <w:shd w:val="clear" w:color="auto" w:fill="F2F2F2" w:themeFill="background1" w:themeFillShade="F2"/>
            <w:vAlign w:val="center"/>
          </w:tcPr>
          <w:p w:rsidR="005414B4" w:rsidRPr="00E9250F" w:rsidRDefault="005414B4" w:rsidP="005414B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bl>
    <w:p w:rsidR="002F102C" w:rsidRPr="00E9250F" w:rsidRDefault="002F102C" w:rsidP="001870DF">
      <w:pPr>
        <w:pStyle w:val="NoSpacing"/>
        <w:rPr>
          <w:rFonts w:ascii="Times New Roman" w:hAnsi="Times New Roman" w:cs="Times New Roman"/>
          <w:sz w:val="24"/>
          <w:szCs w:val="24"/>
          <w:u w:val="single"/>
        </w:rPr>
      </w:pPr>
    </w:p>
    <w:p w:rsidR="002F102C" w:rsidRPr="00E9250F" w:rsidRDefault="001870DF" w:rsidP="001870DF">
      <w:pPr>
        <w:pStyle w:val="NoSpacing"/>
        <w:numPr>
          <w:ilvl w:val="0"/>
          <w:numId w:val="10"/>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 xml:space="preserve">According to the data analysis from </w:t>
      </w:r>
      <w:proofErr w:type="spellStart"/>
      <w:r w:rsidRPr="00E9250F">
        <w:rPr>
          <w:rFonts w:ascii="Times New Roman" w:hAnsi="Times New Roman" w:cs="Times New Roman"/>
          <w:sz w:val="24"/>
          <w:szCs w:val="24"/>
          <w:lang w:eastAsia="ko-KR"/>
        </w:rPr>
        <w:t>LiST</w:t>
      </w:r>
      <w:proofErr w:type="spellEnd"/>
      <w:r w:rsidRPr="00E9250F">
        <w:rPr>
          <w:rFonts w:ascii="Times New Roman" w:hAnsi="Times New Roman" w:cs="Times New Roman"/>
          <w:sz w:val="24"/>
          <w:szCs w:val="24"/>
          <w:lang w:eastAsia="ko-KR"/>
        </w:rPr>
        <w:t xml:space="preserve">, it </w:t>
      </w:r>
      <w:r w:rsidR="0040329F" w:rsidRPr="00E9250F">
        <w:rPr>
          <w:rFonts w:ascii="Times New Roman" w:hAnsi="Times New Roman" w:cs="Times New Roman"/>
          <w:sz w:val="24"/>
          <w:szCs w:val="24"/>
          <w:lang w:eastAsia="ko-KR"/>
        </w:rPr>
        <w:t xml:space="preserve">was found that the intervention of </w:t>
      </w:r>
      <w:r w:rsidRPr="00E9250F">
        <w:rPr>
          <w:rFonts w:ascii="Times New Roman" w:hAnsi="Times New Roman" w:cs="Times New Roman"/>
          <w:sz w:val="24"/>
          <w:szCs w:val="24"/>
          <w:u w:val="single"/>
        </w:rPr>
        <w:t>ITN/IRS - Households protected from malaria</w:t>
      </w:r>
      <w:r w:rsidRPr="00E9250F">
        <w:rPr>
          <w:rFonts w:ascii="Times New Roman" w:hAnsi="Times New Roman" w:cs="Times New Roman"/>
          <w:sz w:val="24"/>
          <w:szCs w:val="24"/>
          <w:lang w:eastAsia="ko-KR"/>
        </w:rPr>
        <w:t xml:space="preserve"> (31%) had the largest impact in preventing deaths in children under 5 years of age (0-60 months). </w:t>
      </w:r>
      <w:r w:rsidRPr="00E9250F">
        <w:rPr>
          <w:rFonts w:ascii="Times New Roman" w:hAnsi="Times New Roman" w:cs="Times New Roman"/>
          <w:sz w:val="24"/>
          <w:szCs w:val="24"/>
          <w:u w:val="single"/>
          <w:lang w:eastAsia="ko-KR"/>
        </w:rPr>
        <w:t>Oral rehydration solution (ORS)</w:t>
      </w:r>
      <w:r w:rsidRPr="00E9250F">
        <w:rPr>
          <w:rFonts w:ascii="Times New Roman" w:hAnsi="Times New Roman" w:cs="Times New Roman"/>
          <w:sz w:val="24"/>
          <w:szCs w:val="24"/>
          <w:lang w:eastAsia="ko-KR"/>
        </w:rPr>
        <w:t xml:space="preserve"> intervention had the second largest impact by taking 21% in preventing children’s lives.</w:t>
      </w:r>
    </w:p>
    <w:p w:rsidR="005E45FD" w:rsidRPr="00E9250F" w:rsidRDefault="005E45FD" w:rsidP="001870DF">
      <w:pPr>
        <w:pStyle w:val="NoSpacing"/>
        <w:numPr>
          <w:ilvl w:val="0"/>
          <w:numId w:val="10"/>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ITN/IRS- H</w:t>
      </w:r>
      <w:r w:rsidR="00FE229D" w:rsidRPr="00E9250F">
        <w:rPr>
          <w:rFonts w:ascii="Times New Roman" w:hAnsi="Times New Roman" w:cs="Times New Roman"/>
          <w:sz w:val="24"/>
          <w:szCs w:val="24"/>
          <w:lang w:eastAsia="ko-KR"/>
        </w:rPr>
        <w:t xml:space="preserve">ouseholds ownership of insecticide treated </w:t>
      </w:r>
      <w:proofErr w:type="spellStart"/>
      <w:r w:rsidR="00FE229D" w:rsidRPr="00E9250F">
        <w:rPr>
          <w:rFonts w:ascii="Times New Roman" w:hAnsi="Times New Roman" w:cs="Times New Roman"/>
          <w:sz w:val="24"/>
          <w:szCs w:val="24"/>
          <w:lang w:eastAsia="ko-KR"/>
        </w:rPr>
        <w:t>bednet</w:t>
      </w:r>
      <w:proofErr w:type="spellEnd"/>
      <w:r w:rsidR="00FE229D" w:rsidRPr="00E9250F">
        <w:rPr>
          <w:rFonts w:ascii="Times New Roman" w:hAnsi="Times New Roman" w:cs="Times New Roman"/>
          <w:sz w:val="24"/>
          <w:szCs w:val="24"/>
          <w:lang w:eastAsia="ko-KR"/>
        </w:rPr>
        <w:t xml:space="preserve"> (ITN) or protected by indoor residual spraying (IRS) intervention refers to percent of households owning at least one insecticide treated </w:t>
      </w:r>
      <w:proofErr w:type="spellStart"/>
      <w:r w:rsidR="00FE229D" w:rsidRPr="00E9250F">
        <w:rPr>
          <w:rFonts w:ascii="Times New Roman" w:hAnsi="Times New Roman" w:cs="Times New Roman"/>
          <w:sz w:val="24"/>
          <w:szCs w:val="24"/>
          <w:lang w:eastAsia="ko-KR"/>
        </w:rPr>
        <w:t>bednet</w:t>
      </w:r>
      <w:proofErr w:type="spellEnd"/>
      <w:r w:rsidR="00FE229D" w:rsidRPr="00E9250F">
        <w:rPr>
          <w:rFonts w:ascii="Times New Roman" w:hAnsi="Times New Roman" w:cs="Times New Roman"/>
          <w:sz w:val="24"/>
          <w:szCs w:val="24"/>
          <w:lang w:eastAsia="ko-KR"/>
        </w:rPr>
        <w:t xml:space="preserve"> (ITN) or protected by indoor residual spraying (IRS).</w:t>
      </w:r>
    </w:p>
    <w:p w:rsidR="00C16B64" w:rsidRPr="00E9250F" w:rsidRDefault="00C16B64" w:rsidP="00F61206">
      <w:pPr>
        <w:pStyle w:val="NoSpacing"/>
        <w:rPr>
          <w:rFonts w:ascii="Times New Roman" w:hAnsi="Times New Roman" w:cs="Times New Roman"/>
          <w:sz w:val="24"/>
          <w:szCs w:val="24"/>
          <w:u w:val="single"/>
        </w:rPr>
      </w:pPr>
    </w:p>
    <w:p w:rsidR="008C3727" w:rsidRDefault="008C3727" w:rsidP="00F61206">
      <w:pPr>
        <w:pStyle w:val="NoSpacing"/>
        <w:rPr>
          <w:rFonts w:ascii="Times New Roman" w:hAnsi="Times New Roman" w:cs="Times New Roman"/>
          <w:sz w:val="24"/>
          <w:szCs w:val="24"/>
          <w:u w:val="single"/>
        </w:rPr>
      </w:pPr>
    </w:p>
    <w:p w:rsidR="008F1CC4" w:rsidRDefault="008F1CC4" w:rsidP="00F61206">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lastRenderedPageBreak/>
        <w:t>2) Maternal</w:t>
      </w:r>
    </w:p>
    <w:p w:rsidR="00E9250F" w:rsidRPr="00E9250F" w:rsidRDefault="00E9250F" w:rsidP="00F61206">
      <w:pPr>
        <w:pStyle w:val="NoSpacing"/>
        <w:rPr>
          <w:rFonts w:ascii="Times New Roman" w:hAnsi="Times New Roman" w:cs="Times New Roman"/>
          <w:sz w:val="24"/>
          <w:szCs w:val="24"/>
          <w:lang w:eastAsia="ko-KR"/>
        </w:rPr>
      </w:pPr>
    </w:p>
    <w:p w:rsidR="008F1CC4" w:rsidRPr="00E9250F" w:rsidRDefault="008F1CC4" w:rsidP="00E9250F">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Additional maternal deaths prevented by intervention relative to impact year</w:t>
      </w:r>
    </w:p>
    <w:tbl>
      <w:tblPr>
        <w:tblStyle w:val="TableGrid"/>
        <w:tblW w:w="0" w:type="auto"/>
        <w:tblLayout w:type="fixed"/>
        <w:tblLook w:val="04A0"/>
      </w:tblPr>
      <w:tblGrid>
        <w:gridCol w:w="5165"/>
        <w:gridCol w:w="697"/>
        <w:gridCol w:w="698"/>
        <w:gridCol w:w="697"/>
        <w:gridCol w:w="698"/>
        <w:gridCol w:w="697"/>
        <w:gridCol w:w="698"/>
      </w:tblGrid>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p>
        </w:tc>
        <w:tc>
          <w:tcPr>
            <w:tcW w:w="697" w:type="dxa"/>
            <w:shd w:val="clear" w:color="auto" w:fill="F2F2F2" w:themeFill="background1" w:themeFillShade="F2"/>
            <w:noWrap/>
            <w:vAlign w:val="center"/>
            <w:hideMark/>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2009</w:t>
            </w:r>
          </w:p>
        </w:tc>
        <w:tc>
          <w:tcPr>
            <w:tcW w:w="698" w:type="dxa"/>
            <w:shd w:val="clear" w:color="auto" w:fill="F2F2F2" w:themeFill="background1" w:themeFillShade="F2"/>
            <w:noWrap/>
            <w:vAlign w:val="center"/>
            <w:hideMark/>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2010</w:t>
            </w:r>
          </w:p>
        </w:tc>
        <w:tc>
          <w:tcPr>
            <w:tcW w:w="697" w:type="dxa"/>
            <w:shd w:val="clear" w:color="auto" w:fill="F2F2F2" w:themeFill="background1" w:themeFillShade="F2"/>
            <w:noWrap/>
            <w:vAlign w:val="center"/>
            <w:hideMark/>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2011</w:t>
            </w:r>
          </w:p>
        </w:tc>
        <w:tc>
          <w:tcPr>
            <w:tcW w:w="698" w:type="dxa"/>
            <w:shd w:val="clear" w:color="auto" w:fill="F2F2F2" w:themeFill="background1" w:themeFillShade="F2"/>
            <w:noWrap/>
            <w:vAlign w:val="center"/>
            <w:hideMark/>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2012</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2013</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b/>
                <w:sz w:val="24"/>
                <w:szCs w:val="24"/>
                <w:lang w:eastAsia="ko-KR"/>
              </w:rPr>
            </w:pPr>
            <w:r w:rsidRPr="00E9250F">
              <w:rPr>
                <w:rFonts w:ascii="Times New Roman" w:hAnsi="Times New Roman" w:cs="Times New Roman"/>
                <w:b/>
                <w:sz w:val="24"/>
                <w:szCs w:val="24"/>
                <w:lang w:eastAsia="ko-KR"/>
              </w:rPr>
              <w:t>%</w:t>
            </w: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b/>
                <w:sz w:val="24"/>
                <w:szCs w:val="24"/>
                <w:lang w:eastAsia="ko-KR"/>
              </w:rPr>
            </w:pPr>
            <w:r w:rsidRPr="00E9250F">
              <w:rPr>
                <w:rFonts w:ascii="Times New Roman" w:hAnsi="Times New Roman" w:cs="Times New Roman"/>
                <w:b/>
                <w:sz w:val="24"/>
                <w:szCs w:val="24"/>
                <w:shd w:val="pct15" w:color="auto" w:fill="FFFFFF"/>
                <w:lang w:eastAsia="ko-KR"/>
              </w:rPr>
              <w:t>Pregnancy</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proofErr w:type="spellStart"/>
            <w:r w:rsidRPr="00E9250F">
              <w:rPr>
                <w:rFonts w:ascii="Times New Roman" w:hAnsi="Times New Roman" w:cs="Times New Roman"/>
                <w:sz w:val="24"/>
                <w:szCs w:val="24"/>
                <w:lang w:eastAsia="ko-KR"/>
              </w:rPr>
              <w:t>IPTp</w:t>
            </w:r>
            <w:proofErr w:type="spellEnd"/>
            <w:r w:rsidRPr="00E9250F">
              <w:rPr>
                <w:rFonts w:ascii="Times New Roman" w:hAnsi="Times New Roman" w:cs="Times New Roman"/>
                <w:sz w:val="24"/>
                <w:szCs w:val="24"/>
                <w:lang w:eastAsia="ko-KR"/>
              </w:rPr>
              <w:t xml:space="preserve"> - Intermittent preventive treatment of malaria during pregnancy</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14</w:t>
            </w: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Hypertensive disorder case management</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Malaria case management</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MgSO4 management of pre-eclampsia</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4</w:t>
            </w: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b/>
                <w:sz w:val="24"/>
                <w:szCs w:val="24"/>
                <w:lang w:eastAsia="ko-KR"/>
              </w:rPr>
            </w:pPr>
            <w:r w:rsidRPr="00E9250F">
              <w:rPr>
                <w:rFonts w:ascii="Times New Roman" w:hAnsi="Times New Roman" w:cs="Times New Roman"/>
                <w:b/>
                <w:sz w:val="24"/>
                <w:szCs w:val="24"/>
                <w:shd w:val="pct15" w:color="auto" w:fill="FFFFFF"/>
                <w:lang w:eastAsia="ko-KR"/>
              </w:rPr>
              <w:t>Childbirth</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p>
        </w:tc>
      </w:tr>
      <w:tr w:rsidR="008F1CC4" w:rsidRPr="00E9250F" w:rsidTr="00C65D7A">
        <w:trPr>
          <w:trHeight w:val="338"/>
        </w:trPr>
        <w:tc>
          <w:tcPr>
            <w:tcW w:w="5165" w:type="dxa"/>
            <w:noWrap/>
            <w:vAlign w:val="center"/>
            <w:hideMark/>
          </w:tcPr>
          <w:p w:rsidR="008F1CC4" w:rsidRPr="00E9250F" w:rsidRDefault="008F1CC4" w:rsidP="008F1CC4">
            <w:pPr>
              <w:pStyle w:val="NoSpacing"/>
              <w:rPr>
                <w:rFonts w:ascii="Times New Roman" w:hAnsi="Times New Roman" w:cs="Times New Roman"/>
                <w:sz w:val="24"/>
                <w:szCs w:val="24"/>
                <w:lang w:eastAsia="ko-KR"/>
              </w:rPr>
            </w:pPr>
            <w:r w:rsidRPr="00E9250F">
              <w:rPr>
                <w:rFonts w:ascii="Times New Roman" w:hAnsi="Times New Roman" w:cs="Times New Roman"/>
                <w:sz w:val="24"/>
                <w:szCs w:val="24"/>
                <w:highlight w:val="yellow"/>
                <w:lang w:eastAsia="ko-KR"/>
              </w:rPr>
              <w:t>Clean birth practices</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7"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0</w:t>
            </w:r>
          </w:p>
        </w:tc>
        <w:tc>
          <w:tcPr>
            <w:tcW w:w="698" w:type="dxa"/>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1</w:t>
            </w:r>
          </w:p>
        </w:tc>
        <w:tc>
          <w:tcPr>
            <w:tcW w:w="697" w:type="dxa"/>
            <w:shd w:val="clear" w:color="auto" w:fill="FDE9D9" w:themeFill="accent6" w:themeFillTint="33"/>
            <w:noWrap/>
            <w:vAlign w:val="center"/>
            <w:hideMark/>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sz w:val="24"/>
                <w:szCs w:val="24"/>
                <w:lang w:eastAsia="ko-KR"/>
              </w:rPr>
              <w:t>2</w:t>
            </w:r>
          </w:p>
        </w:tc>
        <w:tc>
          <w:tcPr>
            <w:tcW w:w="698" w:type="dxa"/>
            <w:shd w:val="clear" w:color="auto" w:fill="F2F2F2" w:themeFill="background1" w:themeFillShade="F2"/>
            <w:vAlign w:val="center"/>
          </w:tcPr>
          <w:p w:rsidR="008F1CC4" w:rsidRPr="00E9250F" w:rsidRDefault="008F1CC4" w:rsidP="008F1CC4">
            <w:pPr>
              <w:pStyle w:val="NoSpacing"/>
              <w:jc w:val="center"/>
              <w:rPr>
                <w:rFonts w:ascii="Times New Roman" w:hAnsi="Times New Roman" w:cs="Times New Roman"/>
                <w:sz w:val="24"/>
                <w:szCs w:val="24"/>
                <w:lang w:eastAsia="ko-KR"/>
              </w:rPr>
            </w:pPr>
            <w:r w:rsidRPr="00E9250F">
              <w:rPr>
                <w:rFonts w:ascii="Times New Roman" w:hAnsi="Times New Roman" w:cs="Times New Roman"/>
                <w:color w:val="FF0000"/>
                <w:sz w:val="24"/>
                <w:szCs w:val="24"/>
                <w:lang w:eastAsia="ko-KR"/>
              </w:rPr>
              <w:t>78</w:t>
            </w:r>
          </w:p>
        </w:tc>
      </w:tr>
    </w:tbl>
    <w:p w:rsidR="002F102C" w:rsidRPr="00E9250F" w:rsidRDefault="002F102C" w:rsidP="0040329F">
      <w:pPr>
        <w:pStyle w:val="NoSpacing"/>
        <w:rPr>
          <w:rFonts w:ascii="Times New Roman" w:hAnsi="Times New Roman" w:cs="Times New Roman"/>
          <w:sz w:val="24"/>
          <w:szCs w:val="24"/>
          <w:lang w:eastAsia="ko-KR"/>
        </w:rPr>
      </w:pPr>
    </w:p>
    <w:p w:rsidR="002F102C" w:rsidRPr="00E9250F" w:rsidRDefault="0040329F" w:rsidP="00F61206">
      <w:pPr>
        <w:pStyle w:val="NoSpacing"/>
        <w:numPr>
          <w:ilvl w:val="0"/>
          <w:numId w:val="11"/>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 xml:space="preserve">According to the data analysis from </w:t>
      </w:r>
      <w:proofErr w:type="spellStart"/>
      <w:r w:rsidRPr="00E9250F">
        <w:rPr>
          <w:rFonts w:ascii="Times New Roman" w:hAnsi="Times New Roman" w:cs="Times New Roman"/>
          <w:sz w:val="24"/>
          <w:szCs w:val="24"/>
          <w:lang w:eastAsia="ko-KR"/>
        </w:rPr>
        <w:t>LiST</w:t>
      </w:r>
      <w:proofErr w:type="spellEnd"/>
      <w:r w:rsidRPr="00E9250F">
        <w:rPr>
          <w:rFonts w:ascii="Times New Roman" w:hAnsi="Times New Roman" w:cs="Times New Roman"/>
          <w:sz w:val="24"/>
          <w:szCs w:val="24"/>
          <w:lang w:eastAsia="ko-KR"/>
        </w:rPr>
        <w:t xml:space="preserve">, it was found that the intervention of </w:t>
      </w:r>
      <w:proofErr w:type="gramStart"/>
      <w:r w:rsidRPr="00E9250F">
        <w:rPr>
          <w:rFonts w:ascii="Times New Roman" w:hAnsi="Times New Roman" w:cs="Times New Roman"/>
          <w:sz w:val="24"/>
          <w:szCs w:val="24"/>
          <w:u w:val="single"/>
          <w:lang w:eastAsia="ko-KR"/>
        </w:rPr>
        <w:t>Clean</w:t>
      </w:r>
      <w:proofErr w:type="gramEnd"/>
      <w:r w:rsidRPr="00E9250F">
        <w:rPr>
          <w:rFonts w:ascii="Times New Roman" w:hAnsi="Times New Roman" w:cs="Times New Roman"/>
          <w:sz w:val="24"/>
          <w:szCs w:val="24"/>
          <w:u w:val="single"/>
          <w:lang w:eastAsia="ko-KR"/>
        </w:rPr>
        <w:t xml:space="preserve"> birth practices (78%)</w:t>
      </w:r>
      <w:r w:rsidRPr="00E9250F">
        <w:rPr>
          <w:rFonts w:ascii="Times New Roman" w:hAnsi="Times New Roman" w:cs="Times New Roman"/>
          <w:sz w:val="24"/>
          <w:szCs w:val="24"/>
          <w:lang w:eastAsia="ko-KR"/>
        </w:rPr>
        <w:t xml:space="preserve"> had the largest impact in preventing maternal deaths in 2013.</w:t>
      </w:r>
    </w:p>
    <w:p w:rsidR="008F1CC4" w:rsidRPr="00E9250F" w:rsidRDefault="00343F7F" w:rsidP="00F61206">
      <w:pPr>
        <w:pStyle w:val="NoSpacing"/>
        <w:numPr>
          <w:ilvl w:val="0"/>
          <w:numId w:val="11"/>
        </w:numPr>
        <w:rPr>
          <w:rFonts w:ascii="Times New Roman" w:hAnsi="Times New Roman" w:cs="Times New Roman"/>
          <w:sz w:val="24"/>
          <w:szCs w:val="24"/>
          <w:lang w:eastAsia="ko-KR"/>
        </w:rPr>
      </w:pPr>
      <w:r w:rsidRPr="00E9250F">
        <w:rPr>
          <w:rFonts w:ascii="Times New Roman" w:hAnsi="Times New Roman" w:cs="Times New Roman"/>
          <w:sz w:val="24"/>
          <w:szCs w:val="24"/>
          <w:lang w:eastAsia="ko-KR"/>
        </w:rPr>
        <w:t>Clean birth practices intervention refers to percent of deliveries where clean birth practices are performed, including handwashing by the attendant, cleaning the maternal perineum, using a clean birth surface, cleaning cutting and tying of the cord, and hygienic cord and skin care immediately after delivery.</w:t>
      </w:r>
    </w:p>
    <w:p w:rsidR="00F412DF" w:rsidRPr="00E9250F" w:rsidRDefault="00F412DF" w:rsidP="00F412DF">
      <w:pPr>
        <w:pStyle w:val="NoSpacing"/>
        <w:rPr>
          <w:rFonts w:ascii="Times New Roman" w:hAnsi="Times New Roman" w:cs="Times New Roman"/>
          <w:sz w:val="24"/>
          <w:szCs w:val="24"/>
          <w:u w:val="single"/>
        </w:rPr>
      </w:pPr>
    </w:p>
    <w:p w:rsidR="00266E8B" w:rsidRPr="00E9250F" w:rsidRDefault="00266E8B" w:rsidP="00F61206">
      <w:pPr>
        <w:pStyle w:val="NoSpacing"/>
        <w:rPr>
          <w:rFonts w:ascii="Times New Roman" w:hAnsi="Times New Roman" w:cs="Times New Roman"/>
          <w:sz w:val="24"/>
          <w:szCs w:val="24"/>
          <w:u w:val="single"/>
        </w:rPr>
      </w:pPr>
    </w:p>
    <w:p w:rsidR="00F61206" w:rsidRPr="00E9250F" w:rsidRDefault="00F61206" w:rsidP="00F61206">
      <w:pPr>
        <w:pStyle w:val="NoSpacing"/>
        <w:rPr>
          <w:rFonts w:ascii="Times New Roman" w:hAnsi="Times New Roman" w:cs="Times New Roman"/>
          <w:sz w:val="24"/>
          <w:szCs w:val="24"/>
          <w:u w:val="single"/>
        </w:rPr>
      </w:pPr>
      <w:r w:rsidRPr="00E9250F">
        <w:rPr>
          <w:rFonts w:ascii="Times New Roman" w:hAnsi="Times New Roman" w:cs="Times New Roman"/>
          <w:sz w:val="24"/>
          <w:szCs w:val="24"/>
          <w:u w:val="single"/>
        </w:rPr>
        <w:t>LESSONS LEARNED</w:t>
      </w:r>
    </w:p>
    <w:p w:rsidR="00F61206" w:rsidRPr="00E9250F" w:rsidRDefault="00F61206" w:rsidP="00F61206">
      <w:pPr>
        <w:pStyle w:val="NoSpacing"/>
        <w:rPr>
          <w:rFonts w:ascii="Times New Roman" w:hAnsi="Times New Roman" w:cs="Times New Roman"/>
          <w:sz w:val="24"/>
          <w:szCs w:val="24"/>
          <w:u w:val="single"/>
        </w:rPr>
      </w:pPr>
    </w:p>
    <w:p w:rsidR="003C19B1" w:rsidRPr="00E9250F" w:rsidRDefault="003C19B1" w:rsidP="00F61206">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1. Children</w:t>
      </w:r>
    </w:p>
    <w:p w:rsidR="002F102C" w:rsidRPr="00E9250F" w:rsidRDefault="00504873" w:rsidP="00F61206">
      <w:pPr>
        <w:pStyle w:val="NoSpacing"/>
        <w:rPr>
          <w:rFonts w:ascii="Times New Roman" w:hAnsi="Times New Roman" w:cs="Times New Roman"/>
          <w:sz w:val="24"/>
          <w:szCs w:val="24"/>
          <w:u w:val="single"/>
        </w:rPr>
      </w:pPr>
      <w:r w:rsidRPr="00E9250F">
        <w:rPr>
          <w:rFonts w:ascii="Times New Roman" w:hAnsi="Times New Roman" w:cs="Times New Roman"/>
          <w:noProof/>
          <w:sz w:val="24"/>
          <w:szCs w:val="24"/>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318</wp:posOffset>
            </wp:positionV>
            <wp:extent cx="5681663" cy="27051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F102C" w:rsidRPr="00E9250F" w:rsidRDefault="003C19B1" w:rsidP="00F61206">
      <w:pPr>
        <w:pStyle w:val="NoSpacing"/>
        <w:numPr>
          <w:ilvl w:val="0"/>
          <w:numId w:val="12"/>
        </w:numPr>
        <w:rPr>
          <w:rFonts w:ascii="Times New Roman" w:hAnsi="Times New Roman" w:cs="Times New Roman"/>
          <w:sz w:val="24"/>
          <w:szCs w:val="24"/>
          <w:u w:val="single"/>
        </w:rPr>
      </w:pPr>
      <w:r w:rsidRPr="00E9250F">
        <w:rPr>
          <w:rFonts w:ascii="Times New Roman" w:hAnsi="Times New Roman" w:cs="Times New Roman"/>
          <w:sz w:val="24"/>
          <w:szCs w:val="24"/>
          <w:lang w:eastAsia="ko-KR"/>
        </w:rPr>
        <w:t xml:space="preserve">As it is shown in the table above, </w:t>
      </w:r>
      <w:r w:rsidR="00EB128A" w:rsidRPr="00E9250F">
        <w:rPr>
          <w:rFonts w:ascii="Times New Roman" w:hAnsi="Times New Roman" w:cs="Times New Roman"/>
          <w:sz w:val="24"/>
          <w:szCs w:val="24"/>
          <w:lang w:eastAsia="ko-KR"/>
        </w:rPr>
        <w:t xml:space="preserve">difference was shown between the level of impact of </w:t>
      </w:r>
      <w:r w:rsidRPr="00E9250F">
        <w:rPr>
          <w:rFonts w:ascii="Times New Roman" w:hAnsi="Times New Roman" w:cs="Times New Roman"/>
          <w:sz w:val="24"/>
          <w:szCs w:val="24"/>
          <w:lang w:eastAsia="ko-KR"/>
        </w:rPr>
        <w:t xml:space="preserve">interventions </w:t>
      </w:r>
      <w:r w:rsidR="00EB128A" w:rsidRPr="00E9250F">
        <w:rPr>
          <w:rFonts w:ascii="Times New Roman" w:hAnsi="Times New Roman" w:cs="Times New Roman"/>
          <w:sz w:val="24"/>
          <w:szCs w:val="24"/>
          <w:lang w:eastAsia="ko-KR"/>
        </w:rPr>
        <w:t>in</w:t>
      </w:r>
      <w:r w:rsidRPr="00E9250F">
        <w:rPr>
          <w:rFonts w:ascii="Times New Roman" w:hAnsi="Times New Roman" w:cs="Times New Roman"/>
          <w:sz w:val="24"/>
          <w:szCs w:val="24"/>
          <w:lang w:eastAsia="ko-KR"/>
        </w:rPr>
        <w:t xml:space="preserve"> saving </w:t>
      </w:r>
      <w:r w:rsidR="00EB128A" w:rsidRPr="00E9250F">
        <w:rPr>
          <w:rFonts w:ascii="Times New Roman" w:hAnsi="Times New Roman" w:cs="Times New Roman"/>
          <w:sz w:val="24"/>
          <w:szCs w:val="24"/>
          <w:lang w:eastAsia="ko-KR"/>
        </w:rPr>
        <w:t xml:space="preserve">childhood </w:t>
      </w:r>
      <w:r w:rsidRPr="00E9250F">
        <w:rPr>
          <w:rFonts w:ascii="Times New Roman" w:hAnsi="Times New Roman" w:cs="Times New Roman"/>
          <w:sz w:val="24"/>
          <w:szCs w:val="24"/>
          <w:lang w:eastAsia="ko-KR"/>
        </w:rPr>
        <w:t xml:space="preserve">lives within the catchment area of </w:t>
      </w:r>
      <w:proofErr w:type="spellStart"/>
      <w:r w:rsidRPr="00E9250F">
        <w:rPr>
          <w:rFonts w:ascii="Times New Roman" w:hAnsi="Times New Roman" w:cs="Times New Roman"/>
          <w:sz w:val="24"/>
          <w:szCs w:val="24"/>
          <w:lang w:eastAsia="ko-KR"/>
        </w:rPr>
        <w:t>Nehnwaa</w:t>
      </w:r>
      <w:proofErr w:type="spellEnd"/>
      <w:r w:rsidRPr="00E9250F">
        <w:rPr>
          <w:rFonts w:ascii="Times New Roman" w:hAnsi="Times New Roman" w:cs="Times New Roman"/>
          <w:sz w:val="24"/>
          <w:szCs w:val="24"/>
          <w:lang w:eastAsia="ko-KR"/>
        </w:rPr>
        <w:t xml:space="preserve"> project and the national level.</w:t>
      </w:r>
    </w:p>
    <w:p w:rsidR="003C19B1" w:rsidRPr="00E9250F" w:rsidRDefault="002F102C" w:rsidP="00F61206">
      <w:pPr>
        <w:pStyle w:val="NoSpacing"/>
        <w:numPr>
          <w:ilvl w:val="0"/>
          <w:numId w:val="12"/>
        </w:numPr>
        <w:rPr>
          <w:rFonts w:ascii="Times New Roman" w:hAnsi="Times New Roman" w:cs="Times New Roman"/>
          <w:sz w:val="24"/>
          <w:szCs w:val="24"/>
          <w:u w:val="single"/>
        </w:rPr>
      </w:pPr>
      <w:r w:rsidRPr="00E9250F">
        <w:rPr>
          <w:rFonts w:ascii="Times New Roman" w:hAnsi="Times New Roman" w:cs="Times New Roman"/>
          <w:sz w:val="24"/>
          <w:szCs w:val="24"/>
          <w:lang w:eastAsia="ko-KR"/>
        </w:rPr>
        <w:lastRenderedPageBreak/>
        <w:t xml:space="preserve">In terms of preventing childhood (0-60 months) deaths in 2013, </w:t>
      </w:r>
      <w:r w:rsidR="003C19B1" w:rsidRPr="00E9250F">
        <w:rPr>
          <w:rFonts w:ascii="Times New Roman" w:hAnsi="Times New Roman" w:cs="Times New Roman"/>
          <w:sz w:val="24"/>
          <w:szCs w:val="24"/>
          <w:lang w:eastAsia="ko-KR"/>
        </w:rPr>
        <w:t xml:space="preserve">the intervention of ITN/IRS had the largest impact </w:t>
      </w:r>
      <w:r w:rsidRPr="00E9250F">
        <w:rPr>
          <w:rFonts w:ascii="Times New Roman" w:hAnsi="Times New Roman" w:cs="Times New Roman"/>
          <w:sz w:val="24"/>
          <w:szCs w:val="24"/>
          <w:lang w:eastAsia="ko-KR"/>
        </w:rPr>
        <w:t xml:space="preserve">within the </w:t>
      </w:r>
      <w:proofErr w:type="spellStart"/>
      <w:r w:rsidRPr="00E9250F">
        <w:rPr>
          <w:rFonts w:ascii="Times New Roman" w:hAnsi="Times New Roman" w:cs="Times New Roman"/>
          <w:sz w:val="24"/>
          <w:szCs w:val="24"/>
          <w:lang w:eastAsia="ko-KR"/>
        </w:rPr>
        <w:t>Nimba</w:t>
      </w:r>
      <w:proofErr w:type="spellEnd"/>
      <w:r w:rsidRPr="00E9250F">
        <w:rPr>
          <w:rFonts w:ascii="Times New Roman" w:hAnsi="Times New Roman" w:cs="Times New Roman"/>
          <w:sz w:val="24"/>
          <w:szCs w:val="24"/>
          <w:lang w:eastAsia="ko-KR"/>
        </w:rPr>
        <w:t xml:space="preserve"> County whereas, the same </w:t>
      </w:r>
      <w:r w:rsidR="003C19B1" w:rsidRPr="00E9250F">
        <w:rPr>
          <w:rFonts w:ascii="Times New Roman" w:hAnsi="Times New Roman" w:cs="Times New Roman"/>
          <w:sz w:val="24"/>
          <w:szCs w:val="24"/>
          <w:lang w:eastAsia="ko-KR"/>
        </w:rPr>
        <w:t>intervention had only 14% in saving lives in the national level. On the other hand, in the national level, the intervention of improving the labor and delivery services had the biggest impact in saving lives of children under the age of 5.</w:t>
      </w:r>
    </w:p>
    <w:p w:rsidR="00EB128A" w:rsidRPr="00E9250F" w:rsidRDefault="002F102C" w:rsidP="00F61206">
      <w:pPr>
        <w:pStyle w:val="NoSpacing"/>
        <w:numPr>
          <w:ilvl w:val="0"/>
          <w:numId w:val="12"/>
        </w:numPr>
        <w:rPr>
          <w:rFonts w:ascii="Times New Roman" w:hAnsi="Times New Roman" w:cs="Times New Roman"/>
          <w:sz w:val="24"/>
          <w:szCs w:val="24"/>
          <w:u w:val="single"/>
        </w:rPr>
      </w:pPr>
      <w:r w:rsidRPr="00E9250F">
        <w:rPr>
          <w:rFonts w:ascii="Times New Roman" w:hAnsi="Times New Roman" w:cs="Times New Roman"/>
          <w:sz w:val="24"/>
          <w:szCs w:val="24"/>
          <w:lang w:eastAsia="ko-KR"/>
        </w:rPr>
        <w:t>Such difference might be due to the fact that the number of ITN use, under the project activity of integrated childhood illness management, showed high level of improvement from 46.0% in 2009 to 98.6% in 2013.</w:t>
      </w:r>
    </w:p>
    <w:p w:rsidR="00EB128A" w:rsidRPr="00E9250F" w:rsidRDefault="00EB128A" w:rsidP="00F61206">
      <w:pPr>
        <w:pStyle w:val="NoSpacing"/>
        <w:rPr>
          <w:rFonts w:ascii="Times New Roman" w:hAnsi="Times New Roman" w:cs="Times New Roman"/>
          <w:sz w:val="24"/>
          <w:szCs w:val="24"/>
          <w:lang w:eastAsia="ko-KR"/>
        </w:rPr>
      </w:pPr>
    </w:p>
    <w:p w:rsidR="003C19B1" w:rsidRPr="00E9250F" w:rsidRDefault="0078169B" w:rsidP="00F61206">
      <w:pPr>
        <w:pStyle w:val="NoSpacing"/>
        <w:rPr>
          <w:rFonts w:ascii="Times New Roman" w:hAnsi="Times New Roman" w:cs="Times New Roman"/>
          <w:sz w:val="24"/>
          <w:szCs w:val="24"/>
          <w:lang w:eastAsia="ko-KR"/>
        </w:rPr>
      </w:pPr>
      <w:r w:rsidRPr="00E9250F">
        <w:rPr>
          <w:rFonts w:ascii="Times New Roman" w:hAnsi="Times New Roman" w:cs="Times New Roman"/>
          <w:sz w:val="24"/>
          <w:szCs w:val="24"/>
          <w:lang w:eastAsia="ko-KR"/>
        </w:rPr>
        <w:t>2. Maternal</w:t>
      </w:r>
    </w:p>
    <w:p w:rsidR="0078169B" w:rsidRPr="00E9250F" w:rsidRDefault="0078169B" w:rsidP="00F61206">
      <w:pPr>
        <w:pStyle w:val="NoSpacing"/>
        <w:rPr>
          <w:rFonts w:ascii="Times New Roman" w:hAnsi="Times New Roman" w:cs="Times New Roman"/>
          <w:sz w:val="24"/>
          <w:szCs w:val="24"/>
          <w:lang w:eastAsia="ko-KR"/>
        </w:rPr>
      </w:pPr>
    </w:p>
    <w:p w:rsidR="00172713" w:rsidRPr="00E9250F" w:rsidRDefault="00172713" w:rsidP="00F61206">
      <w:pPr>
        <w:pStyle w:val="NoSpacing"/>
        <w:rPr>
          <w:rFonts w:ascii="Times New Roman" w:hAnsi="Times New Roman" w:cs="Times New Roman"/>
          <w:sz w:val="24"/>
          <w:szCs w:val="24"/>
          <w:lang w:eastAsia="ko-KR"/>
        </w:rPr>
      </w:pPr>
      <w:r w:rsidRPr="00E9250F">
        <w:rPr>
          <w:rFonts w:ascii="Times New Roman" w:hAnsi="Times New Roman" w:cs="Times New Roman"/>
          <w:noProof/>
          <w:sz w:val="24"/>
          <w:szCs w:val="24"/>
        </w:rPr>
        <w:drawing>
          <wp:inline distT="0" distB="0" distL="0" distR="0">
            <wp:extent cx="6186488" cy="2661920"/>
            <wp:effectExtent l="0" t="0" r="508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713" w:rsidRPr="00E9250F" w:rsidRDefault="00172713" w:rsidP="00F61206">
      <w:pPr>
        <w:pStyle w:val="NoSpacing"/>
        <w:rPr>
          <w:rFonts w:ascii="Times New Roman" w:hAnsi="Times New Roman" w:cs="Times New Roman"/>
          <w:sz w:val="24"/>
          <w:szCs w:val="24"/>
          <w:lang w:eastAsia="ko-KR"/>
        </w:rPr>
      </w:pPr>
    </w:p>
    <w:p w:rsidR="00EB128A" w:rsidRPr="00E9250F" w:rsidRDefault="00EB128A" w:rsidP="00577156">
      <w:pPr>
        <w:pStyle w:val="NoSpacing"/>
        <w:numPr>
          <w:ilvl w:val="0"/>
          <w:numId w:val="12"/>
        </w:numPr>
        <w:rPr>
          <w:rFonts w:ascii="Times New Roman" w:hAnsi="Times New Roman" w:cs="Times New Roman"/>
          <w:sz w:val="24"/>
          <w:szCs w:val="24"/>
          <w:u w:val="single"/>
        </w:rPr>
      </w:pPr>
      <w:r w:rsidRPr="00E9250F">
        <w:rPr>
          <w:rFonts w:ascii="Times New Roman" w:hAnsi="Times New Roman" w:cs="Times New Roman"/>
          <w:sz w:val="24"/>
          <w:szCs w:val="24"/>
          <w:lang w:eastAsia="ko-KR"/>
        </w:rPr>
        <w:t xml:space="preserve">As it is shown in the table above, difference was shown between the level of impact of interventions in saving maternal lives within the catchment area of </w:t>
      </w:r>
      <w:proofErr w:type="spellStart"/>
      <w:r w:rsidRPr="00E9250F">
        <w:rPr>
          <w:rFonts w:ascii="Times New Roman" w:hAnsi="Times New Roman" w:cs="Times New Roman"/>
          <w:sz w:val="24"/>
          <w:szCs w:val="24"/>
          <w:lang w:eastAsia="ko-KR"/>
        </w:rPr>
        <w:t>Nehnwaa</w:t>
      </w:r>
      <w:proofErr w:type="spellEnd"/>
      <w:r w:rsidRPr="00E9250F">
        <w:rPr>
          <w:rFonts w:ascii="Times New Roman" w:hAnsi="Times New Roman" w:cs="Times New Roman"/>
          <w:sz w:val="24"/>
          <w:szCs w:val="24"/>
          <w:lang w:eastAsia="ko-KR"/>
        </w:rPr>
        <w:t xml:space="preserve"> project and the national level.</w:t>
      </w:r>
    </w:p>
    <w:p w:rsidR="00577156" w:rsidRPr="00E9250F" w:rsidRDefault="00577156" w:rsidP="00577156">
      <w:pPr>
        <w:pStyle w:val="NoSpacing"/>
        <w:numPr>
          <w:ilvl w:val="0"/>
          <w:numId w:val="12"/>
        </w:numPr>
        <w:rPr>
          <w:rFonts w:ascii="Times New Roman" w:hAnsi="Times New Roman" w:cs="Times New Roman"/>
          <w:sz w:val="24"/>
          <w:szCs w:val="24"/>
          <w:u w:val="single"/>
        </w:rPr>
      </w:pPr>
      <w:r w:rsidRPr="00E9250F">
        <w:rPr>
          <w:rFonts w:ascii="Times New Roman" w:hAnsi="Times New Roman" w:cs="Times New Roman"/>
          <w:sz w:val="24"/>
          <w:szCs w:val="24"/>
          <w:lang w:eastAsia="ko-KR"/>
        </w:rPr>
        <w:t xml:space="preserve">Within the </w:t>
      </w:r>
      <w:proofErr w:type="spellStart"/>
      <w:r w:rsidRPr="00E9250F">
        <w:rPr>
          <w:rFonts w:ascii="Times New Roman" w:hAnsi="Times New Roman" w:cs="Times New Roman"/>
          <w:sz w:val="24"/>
          <w:szCs w:val="24"/>
          <w:lang w:eastAsia="ko-KR"/>
        </w:rPr>
        <w:t>Nimba</w:t>
      </w:r>
      <w:proofErr w:type="spellEnd"/>
      <w:r w:rsidRPr="00E9250F">
        <w:rPr>
          <w:rFonts w:ascii="Times New Roman" w:hAnsi="Times New Roman" w:cs="Times New Roman"/>
          <w:sz w:val="24"/>
          <w:szCs w:val="24"/>
          <w:lang w:eastAsia="ko-KR"/>
        </w:rPr>
        <w:t xml:space="preserve"> </w:t>
      </w:r>
      <w:r w:rsidR="00E9250F" w:rsidRPr="00E9250F">
        <w:rPr>
          <w:rFonts w:ascii="Times New Roman" w:hAnsi="Times New Roman" w:cs="Times New Roman"/>
          <w:sz w:val="24"/>
          <w:szCs w:val="24"/>
          <w:lang w:eastAsia="ko-KR"/>
        </w:rPr>
        <w:t>County</w:t>
      </w:r>
      <w:r w:rsidRPr="00E9250F">
        <w:rPr>
          <w:rFonts w:ascii="Times New Roman" w:hAnsi="Times New Roman" w:cs="Times New Roman"/>
          <w:sz w:val="24"/>
          <w:szCs w:val="24"/>
          <w:lang w:eastAsia="ko-KR"/>
        </w:rPr>
        <w:t xml:space="preserve">, the intervention of clean birth practice had the largest impact </w:t>
      </w:r>
      <w:r w:rsidR="00EB128A" w:rsidRPr="00E9250F">
        <w:rPr>
          <w:rFonts w:ascii="Times New Roman" w:hAnsi="Times New Roman" w:cs="Times New Roman"/>
          <w:sz w:val="24"/>
          <w:szCs w:val="24"/>
          <w:lang w:eastAsia="ko-KR"/>
        </w:rPr>
        <w:t>in preventing ma</w:t>
      </w:r>
      <w:r w:rsidR="00B54457">
        <w:rPr>
          <w:rFonts w:ascii="Times New Roman" w:hAnsi="Times New Roman" w:cs="Times New Roman"/>
          <w:sz w:val="24"/>
          <w:szCs w:val="24"/>
          <w:lang w:eastAsia="ko-KR"/>
        </w:rPr>
        <w:t>ternal deaths in the year 2013. H</w:t>
      </w:r>
      <w:r w:rsidRPr="00E9250F">
        <w:rPr>
          <w:rFonts w:ascii="Times New Roman" w:hAnsi="Times New Roman" w:cs="Times New Roman"/>
          <w:sz w:val="24"/>
          <w:szCs w:val="24"/>
          <w:lang w:eastAsia="ko-KR"/>
        </w:rPr>
        <w:t xml:space="preserve">owever, the same intervention had only 7% in the national level in </w:t>
      </w:r>
      <w:r w:rsidR="00EB128A" w:rsidRPr="00E9250F">
        <w:rPr>
          <w:rFonts w:ascii="Times New Roman" w:hAnsi="Times New Roman" w:cs="Times New Roman"/>
          <w:sz w:val="24"/>
          <w:szCs w:val="24"/>
          <w:lang w:eastAsia="ko-KR"/>
        </w:rPr>
        <w:t xml:space="preserve">the same year. </w:t>
      </w:r>
      <w:r w:rsidRPr="00E9250F">
        <w:rPr>
          <w:rFonts w:ascii="Times New Roman" w:hAnsi="Times New Roman" w:cs="Times New Roman"/>
          <w:sz w:val="24"/>
          <w:szCs w:val="24"/>
          <w:lang w:eastAsia="ko-KR"/>
        </w:rPr>
        <w:t>On the other hand, in the national level, the intervention of improving the labor and delivery services had the biggest impact in saving lives of mothers.</w:t>
      </w:r>
    </w:p>
    <w:p w:rsidR="00EB128A" w:rsidRPr="00E9250F" w:rsidRDefault="00B54457" w:rsidP="00577156">
      <w:pPr>
        <w:pStyle w:val="NoSpacing"/>
        <w:numPr>
          <w:ilvl w:val="0"/>
          <w:numId w:val="12"/>
        </w:numPr>
        <w:rPr>
          <w:rFonts w:ascii="Times New Roman" w:hAnsi="Times New Roman" w:cs="Times New Roman"/>
          <w:sz w:val="24"/>
          <w:szCs w:val="24"/>
          <w:u w:val="single"/>
        </w:rPr>
      </w:pPr>
      <w:r>
        <w:rPr>
          <w:rFonts w:ascii="Times New Roman" w:hAnsi="Times New Roman" w:cs="Times New Roman"/>
          <w:sz w:val="24"/>
          <w:szCs w:val="24"/>
          <w:lang w:eastAsia="ko-KR"/>
        </w:rPr>
        <w:t>It is worth noticing that there are remarkable difference between national and subnational coverages levels for interventions of clean birth practice and labor &amp; delivery. Such outcome might be due to lack of subnational coverage data for certain interventions.</w:t>
      </w:r>
    </w:p>
    <w:p w:rsidR="00AF7B8B" w:rsidRPr="00E9250F" w:rsidRDefault="00AF7B8B" w:rsidP="00F61206">
      <w:pPr>
        <w:pStyle w:val="NoSpacing"/>
        <w:rPr>
          <w:rFonts w:ascii="Times New Roman" w:hAnsi="Times New Roman" w:cs="Times New Roman"/>
          <w:sz w:val="24"/>
          <w:szCs w:val="24"/>
          <w:u w:val="single"/>
        </w:rPr>
      </w:pPr>
    </w:p>
    <w:p w:rsidR="00103491" w:rsidRPr="00E9250F" w:rsidRDefault="00103491" w:rsidP="003C19B1">
      <w:pPr>
        <w:pStyle w:val="NoSpacing"/>
        <w:rPr>
          <w:rFonts w:ascii="Times New Roman" w:hAnsi="Times New Roman" w:cs="Times New Roman"/>
          <w:sz w:val="24"/>
          <w:szCs w:val="24"/>
          <w:lang w:eastAsia="ko-KR"/>
        </w:rPr>
      </w:pPr>
    </w:p>
    <w:p w:rsidR="00103491" w:rsidRDefault="00AB5B84" w:rsidP="003C19B1">
      <w:pPr>
        <w:pStyle w:val="NoSpacing"/>
        <w:rPr>
          <w:rFonts w:ascii="Times New Roman" w:hAnsi="Times New Roman" w:cs="Times New Roman"/>
          <w:sz w:val="24"/>
          <w:szCs w:val="24"/>
          <w:u w:val="single"/>
        </w:rPr>
      </w:pPr>
      <w:r>
        <w:rPr>
          <w:rFonts w:ascii="Times New Roman" w:hAnsi="Times New Roman" w:cs="Times New Roman"/>
          <w:sz w:val="24"/>
          <w:szCs w:val="24"/>
          <w:u w:val="single"/>
        </w:rPr>
        <w:t>LIMITATION</w:t>
      </w:r>
      <w:r w:rsidR="00D755B8">
        <w:rPr>
          <w:rFonts w:ascii="Times New Roman" w:hAnsi="Times New Roman" w:cs="Times New Roman"/>
          <w:sz w:val="24"/>
          <w:szCs w:val="24"/>
          <w:u w:val="single"/>
        </w:rPr>
        <w:t xml:space="preserve"> &amp; CONCLUSION</w:t>
      </w:r>
    </w:p>
    <w:p w:rsidR="00E9250F" w:rsidRPr="00D755B8" w:rsidRDefault="00AB5B84" w:rsidP="00D755B8">
      <w:pPr>
        <w:pStyle w:val="NoSpacing"/>
        <w:rPr>
          <w:rFonts w:ascii="Times New Roman" w:hAnsi="Times New Roman" w:cs="Times New Roman"/>
          <w:sz w:val="24"/>
          <w:szCs w:val="24"/>
        </w:rPr>
      </w:pPr>
      <w:r>
        <w:rPr>
          <w:rFonts w:ascii="Times New Roman" w:hAnsi="Times New Roman" w:cs="Times New Roman"/>
          <w:sz w:val="24"/>
          <w:szCs w:val="24"/>
        </w:rPr>
        <w:tab/>
      </w:r>
      <w:r w:rsidRPr="003A36AB">
        <w:rPr>
          <w:rFonts w:ascii="Times New Roman" w:hAnsi="Times New Roman" w:cs="Times New Roman"/>
          <w:sz w:val="24"/>
          <w:szCs w:val="24"/>
        </w:rPr>
        <w:t xml:space="preserve">One of the main limitations </w:t>
      </w:r>
      <w:r>
        <w:rPr>
          <w:rFonts w:ascii="Times New Roman" w:hAnsi="Times New Roman" w:cs="Times New Roman"/>
          <w:sz w:val="24"/>
          <w:szCs w:val="24"/>
        </w:rPr>
        <w:t xml:space="preserve">when determining the intervention impact of the </w:t>
      </w:r>
      <w:proofErr w:type="spellStart"/>
      <w:r>
        <w:rPr>
          <w:rFonts w:ascii="Times New Roman" w:hAnsi="Times New Roman" w:cs="Times New Roman"/>
          <w:sz w:val="24"/>
          <w:szCs w:val="24"/>
        </w:rPr>
        <w:t>Nehnwaa</w:t>
      </w:r>
      <w:proofErr w:type="spellEnd"/>
      <w:r>
        <w:rPr>
          <w:rFonts w:ascii="Times New Roman" w:hAnsi="Times New Roman" w:cs="Times New Roman"/>
          <w:sz w:val="24"/>
          <w:szCs w:val="24"/>
        </w:rPr>
        <w:t xml:space="preserve"> Project</w:t>
      </w:r>
      <w:r w:rsidRPr="003A36AB">
        <w:rPr>
          <w:rFonts w:ascii="Times New Roman" w:hAnsi="Times New Roman" w:cs="Times New Roman"/>
          <w:sz w:val="24"/>
          <w:szCs w:val="24"/>
        </w:rPr>
        <w:t xml:space="preserve"> is the lack of availab</w:t>
      </w:r>
      <w:r>
        <w:rPr>
          <w:rFonts w:ascii="Times New Roman" w:hAnsi="Times New Roman" w:cs="Times New Roman"/>
          <w:sz w:val="24"/>
          <w:szCs w:val="24"/>
        </w:rPr>
        <w:t xml:space="preserve">ility of data source in subnational level. Because the </w:t>
      </w:r>
      <w:proofErr w:type="spellStart"/>
      <w:r>
        <w:rPr>
          <w:rFonts w:ascii="Times New Roman" w:hAnsi="Times New Roman" w:cs="Times New Roman"/>
          <w:sz w:val="24"/>
          <w:szCs w:val="24"/>
        </w:rPr>
        <w:t>subnational</w:t>
      </w:r>
      <w:proofErr w:type="spellEnd"/>
      <w:r>
        <w:rPr>
          <w:rFonts w:ascii="Times New Roman" w:hAnsi="Times New Roman" w:cs="Times New Roman"/>
          <w:sz w:val="24"/>
          <w:szCs w:val="24"/>
        </w:rPr>
        <w:t xml:space="preserve">-wizard on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makes a projection based on difference in coverage rate between national and subnational level, it is difficult to make an accurate prediction with lacking data. Moreover, </w:t>
      </w:r>
      <w:r>
        <w:rPr>
          <w:rFonts w:ascii="Times New Roman" w:hAnsi="Times New Roman" w:cs="Times New Roman"/>
          <w:sz w:val="24"/>
          <w:szCs w:val="24"/>
        </w:rPr>
        <w:lastRenderedPageBreak/>
        <w:t xml:space="preserve">despite available data on some of project indicators which were selected by the project </w:t>
      </w:r>
      <w:bookmarkStart w:id="0" w:name="_GoBack"/>
      <w:bookmarkEnd w:id="0"/>
      <w:r>
        <w:rPr>
          <w:rFonts w:ascii="Times New Roman" w:hAnsi="Times New Roman" w:cs="Times New Roman"/>
          <w:sz w:val="24"/>
          <w:szCs w:val="24"/>
        </w:rPr>
        <w:t xml:space="preserve">researchers, </w:t>
      </w:r>
      <w:proofErr w:type="spellStart"/>
      <w:r>
        <w:rPr>
          <w:rFonts w:ascii="Times New Roman" w:hAnsi="Times New Roman" w:cs="Times New Roman"/>
          <w:sz w:val="24"/>
          <w:szCs w:val="24"/>
        </w:rPr>
        <w:t>subnational</w:t>
      </w:r>
      <w:proofErr w:type="spellEnd"/>
      <w:r>
        <w:rPr>
          <w:rFonts w:ascii="Times New Roman" w:hAnsi="Times New Roman" w:cs="Times New Roman"/>
          <w:sz w:val="24"/>
          <w:szCs w:val="24"/>
        </w:rPr>
        <w:t xml:space="preserve"> projection through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cannot be done since these indicators are not included in default data in the s</w:t>
      </w:r>
      <w:r w:rsidR="00D755B8">
        <w:rPr>
          <w:rFonts w:ascii="Times New Roman" w:hAnsi="Times New Roman" w:cs="Times New Roman"/>
          <w:sz w:val="24"/>
          <w:szCs w:val="24"/>
        </w:rPr>
        <w:t>ystem.</w:t>
      </w:r>
      <w:r w:rsidR="00D755B8">
        <w:rPr>
          <w:rFonts w:ascii="Times New Roman" w:hAnsi="Times New Roman" w:cs="Times New Roman" w:hint="eastAsia"/>
          <w:sz w:val="24"/>
          <w:szCs w:val="24"/>
          <w:lang w:eastAsia="ko-KR"/>
        </w:rPr>
        <w:t xml:space="preserve"> </w:t>
      </w:r>
      <w:r>
        <w:rPr>
          <w:rFonts w:ascii="Times New Roman" w:hAnsi="Times New Roman" w:cs="Times New Roman"/>
          <w:sz w:val="24"/>
          <w:szCs w:val="24"/>
        </w:rPr>
        <w:t xml:space="preserve">However, it is still possible to conclude that the intervention of </w:t>
      </w:r>
      <w:r w:rsidRPr="00E9250F">
        <w:rPr>
          <w:rFonts w:ascii="Times New Roman" w:hAnsi="Times New Roman" w:cs="Times New Roman"/>
          <w:sz w:val="24"/>
          <w:szCs w:val="24"/>
          <w:lang w:eastAsia="ko-KR"/>
        </w:rPr>
        <w:t>ITN/IRS</w:t>
      </w:r>
      <w:r>
        <w:rPr>
          <w:rFonts w:ascii="Times New Roman" w:hAnsi="Times New Roman" w:cs="Times New Roman"/>
          <w:sz w:val="24"/>
          <w:szCs w:val="24"/>
          <w:lang w:eastAsia="ko-KR"/>
        </w:rPr>
        <w:t xml:space="preserve"> uses and clean birth practice had considerable impact in saving lives of </w:t>
      </w:r>
      <w:proofErr w:type="spellStart"/>
      <w:r>
        <w:rPr>
          <w:rFonts w:ascii="Times New Roman" w:hAnsi="Times New Roman" w:cs="Times New Roman"/>
          <w:sz w:val="24"/>
          <w:szCs w:val="24"/>
          <w:lang w:eastAsia="ko-KR"/>
        </w:rPr>
        <w:t>Nimba</w:t>
      </w:r>
      <w:proofErr w:type="spellEnd"/>
      <w:r>
        <w:rPr>
          <w:rFonts w:ascii="Times New Roman" w:hAnsi="Times New Roman" w:cs="Times New Roman"/>
          <w:sz w:val="24"/>
          <w:szCs w:val="24"/>
          <w:lang w:eastAsia="ko-KR"/>
        </w:rPr>
        <w:t xml:space="preserve"> County’s children and mothers, respectively and saving the minimum number of </w:t>
      </w:r>
      <w:r w:rsidR="00D755B8">
        <w:rPr>
          <w:rFonts w:ascii="Times New Roman" w:hAnsi="Times New Roman" w:cs="Times New Roman"/>
          <w:sz w:val="24"/>
          <w:szCs w:val="24"/>
          <w:lang w:eastAsia="ko-KR"/>
        </w:rPr>
        <w:t xml:space="preserve">223 lives. </w:t>
      </w:r>
    </w:p>
    <w:p w:rsidR="00E9250F" w:rsidRDefault="00E9250F" w:rsidP="003C19B1">
      <w:pPr>
        <w:pStyle w:val="NoSpacing"/>
        <w:rPr>
          <w:rFonts w:ascii="Times New Roman" w:hAnsi="Times New Roman" w:cs="Times New Roman"/>
          <w:i/>
          <w:sz w:val="20"/>
          <w:szCs w:val="20"/>
          <w:lang w:eastAsia="ko-KR"/>
        </w:rPr>
      </w:pPr>
    </w:p>
    <w:p w:rsidR="00E9250F" w:rsidRDefault="00E9250F"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Default="00D755B8" w:rsidP="003C19B1">
      <w:pPr>
        <w:pStyle w:val="NoSpacing"/>
        <w:rPr>
          <w:rFonts w:ascii="Times New Roman" w:hAnsi="Times New Roman" w:cs="Times New Roman"/>
          <w:i/>
          <w:sz w:val="20"/>
          <w:szCs w:val="20"/>
          <w:lang w:eastAsia="ko-KR"/>
        </w:rPr>
      </w:pPr>
    </w:p>
    <w:p w:rsidR="00D755B8" w:rsidRPr="00D755B8" w:rsidRDefault="00D755B8" w:rsidP="003C19B1">
      <w:pPr>
        <w:pStyle w:val="NoSpacing"/>
        <w:rPr>
          <w:rFonts w:ascii="Times New Roman" w:hAnsi="Times New Roman" w:cs="Times New Roman"/>
          <w:i/>
          <w:sz w:val="20"/>
          <w:szCs w:val="20"/>
          <w:lang w:eastAsia="ko-KR"/>
        </w:rPr>
      </w:pPr>
    </w:p>
    <w:p w:rsidR="00103491" w:rsidRPr="0033489A" w:rsidRDefault="00292470" w:rsidP="003C19B1">
      <w:pPr>
        <w:pStyle w:val="NoSpacing"/>
        <w:rPr>
          <w:rFonts w:ascii="Times New Roman" w:hAnsi="Times New Roman" w:cs="Times New Roman"/>
          <w:i/>
          <w:sz w:val="24"/>
          <w:szCs w:val="24"/>
          <w:lang w:eastAsia="ko-KR"/>
        </w:rPr>
      </w:pPr>
      <w:r w:rsidRPr="0033489A">
        <w:rPr>
          <w:rFonts w:ascii="Times New Roman" w:hAnsi="Times New Roman" w:cs="Times New Roman" w:hint="eastAsia"/>
          <w:i/>
          <w:sz w:val="24"/>
          <w:szCs w:val="24"/>
          <w:lang w:eastAsia="ko-KR"/>
        </w:rPr>
        <w:lastRenderedPageBreak/>
        <w:t>Reference</w:t>
      </w:r>
      <w:r w:rsidR="002E37EF" w:rsidRPr="0033489A">
        <w:rPr>
          <w:rFonts w:ascii="Times New Roman" w:hAnsi="Times New Roman" w:cs="Times New Roman"/>
          <w:i/>
          <w:sz w:val="24"/>
          <w:szCs w:val="24"/>
          <w:lang w:eastAsia="ko-KR"/>
        </w:rPr>
        <w:t xml:space="preserve"> 1 – Rapid Catch Indicators</w:t>
      </w:r>
    </w:p>
    <w:p w:rsidR="00292470" w:rsidRPr="00E9250F" w:rsidRDefault="00292470" w:rsidP="003C19B1">
      <w:pPr>
        <w:pStyle w:val="NoSpacing"/>
        <w:rPr>
          <w:rFonts w:ascii="Times New Roman" w:hAnsi="Times New Roman" w:cs="Times New Roman"/>
          <w:i/>
          <w:sz w:val="20"/>
          <w:szCs w:val="20"/>
          <w:lang w:eastAsia="ko-KR"/>
        </w:rPr>
      </w:pPr>
    </w:p>
    <w:tbl>
      <w:tblPr>
        <w:tblStyle w:val="TableGrid"/>
        <w:tblW w:w="0" w:type="auto"/>
        <w:jc w:val="center"/>
        <w:tblLayout w:type="fixed"/>
        <w:tblLook w:val="04A0"/>
      </w:tblPr>
      <w:tblGrid>
        <w:gridCol w:w="3964"/>
        <w:gridCol w:w="897"/>
        <w:gridCol w:w="898"/>
        <w:gridCol w:w="898"/>
        <w:gridCol w:w="897"/>
        <w:gridCol w:w="898"/>
        <w:gridCol w:w="898"/>
      </w:tblGrid>
      <w:tr w:rsidR="00103491" w:rsidRPr="00E9250F" w:rsidTr="002E37EF">
        <w:trPr>
          <w:trHeight w:val="603"/>
          <w:jc w:val="center"/>
        </w:trPr>
        <w:tc>
          <w:tcPr>
            <w:tcW w:w="3964" w:type="dxa"/>
            <w:vAlign w:val="center"/>
            <w:hideMark/>
          </w:tcPr>
          <w:p w:rsidR="00103491" w:rsidRPr="00E9250F" w:rsidRDefault="00103491" w:rsidP="00103491">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Indicator</w:t>
            </w:r>
          </w:p>
        </w:tc>
        <w:tc>
          <w:tcPr>
            <w:tcW w:w="897" w:type="dxa"/>
            <w:vAlign w:val="center"/>
            <w:hideMark/>
          </w:tcPr>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Liberia National (2009)</w:t>
            </w:r>
          </w:p>
        </w:tc>
        <w:tc>
          <w:tcPr>
            <w:tcW w:w="898" w:type="dxa"/>
            <w:vAlign w:val="center"/>
            <w:hideMark/>
          </w:tcPr>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Baseline (2009)</w:t>
            </w:r>
          </w:p>
        </w:tc>
        <w:tc>
          <w:tcPr>
            <w:tcW w:w="898" w:type="dxa"/>
            <w:vAlign w:val="center"/>
            <w:hideMark/>
          </w:tcPr>
          <w:p w:rsidR="002E37EF" w:rsidRPr="0044409C" w:rsidRDefault="002E37EF"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Mid</w:t>
            </w:r>
          </w:p>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(2011)</w:t>
            </w:r>
          </w:p>
        </w:tc>
        <w:tc>
          <w:tcPr>
            <w:tcW w:w="897" w:type="dxa"/>
            <w:vAlign w:val="center"/>
            <w:hideMark/>
          </w:tcPr>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Final (2013)</w:t>
            </w:r>
          </w:p>
        </w:tc>
        <w:tc>
          <w:tcPr>
            <w:tcW w:w="898" w:type="dxa"/>
            <w:vAlign w:val="center"/>
            <w:hideMark/>
          </w:tcPr>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Target</w:t>
            </w:r>
          </w:p>
        </w:tc>
        <w:tc>
          <w:tcPr>
            <w:tcW w:w="898" w:type="dxa"/>
            <w:vAlign w:val="center"/>
            <w:hideMark/>
          </w:tcPr>
          <w:p w:rsidR="00103491" w:rsidRPr="0044409C" w:rsidRDefault="00103491" w:rsidP="002E37EF">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Liberia National (2013)</w:t>
            </w: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Integrated Management of Childhood Illnesses (45%)</w:t>
            </w:r>
          </w:p>
        </w:tc>
      </w:tr>
      <w:tr w:rsidR="00292470" w:rsidRPr="00E9250F" w:rsidTr="00C65D7A">
        <w:trPr>
          <w:trHeight w:val="315"/>
          <w:jc w:val="center"/>
        </w:trPr>
        <w:tc>
          <w:tcPr>
            <w:tcW w:w="9350" w:type="dxa"/>
            <w:gridSpan w:val="7"/>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Breastfeeding and Child Nutrition</w:t>
            </w:r>
          </w:p>
        </w:tc>
      </w:tr>
      <w:tr w:rsidR="00103491" w:rsidRPr="00E9250F" w:rsidTr="00103491">
        <w:trPr>
          <w:trHeight w:val="1200"/>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Exclusive breastfeeding (0-5 months): Percent of infants aged 0-5 months who were given breast milk only in the 24 hours preceding survey.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55.1% (&lt; months); 36% (1-5 months)</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39.40%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54.00%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52.90%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58.80%</w:t>
            </w:r>
          </w:p>
        </w:tc>
      </w:tr>
      <w:tr w:rsidR="00103491" w:rsidRPr="00E9250F" w:rsidTr="00103491">
        <w:trPr>
          <w:trHeight w:val="990"/>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IYCF practice indicator (6-23 months): Percent of infants and young children aged 6-23 months fed according to a minimum of appropriate feeding practices.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24.50%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17.90%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3.70%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61.9%</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24.50%</w:t>
            </w:r>
          </w:p>
        </w:tc>
      </w:tr>
      <w:tr w:rsidR="00103491" w:rsidRPr="00E9250F" w:rsidTr="00103491">
        <w:trPr>
          <w:trHeight w:val="989"/>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Underweight: Percentage of children age 0-23 months who are underweight (-SD for the median weight for age, according to WHO/NCHS reference population).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67.00%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8.60%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23.4%</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Diarrhea Case Management</w:t>
            </w:r>
          </w:p>
        </w:tc>
      </w:tr>
      <w:tr w:rsidR="00103491" w:rsidRPr="00E9250F" w:rsidTr="00103491">
        <w:trPr>
          <w:trHeight w:val="1052"/>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ORT Use: Percentage of children age 0-23 months with diarrhea in the last two weeks who received oral rehydration solution and/or recommended home fluids.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55.60%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47.90%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48.00%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82.70%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85.00%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60.40%</w:t>
            </w: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Acute Respiratory Infections</w:t>
            </w:r>
          </w:p>
        </w:tc>
      </w:tr>
      <w:tr w:rsidR="00103491" w:rsidRPr="00E9250F" w:rsidTr="00103491">
        <w:trPr>
          <w:trHeight w:val="1203"/>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Appropriate Care Seeking for Pneumonia: Percentage of children age 0-23 months with chest-related cough and fast and/or difficult breathing in the last two weeks who were taken to an appropriate health provider.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58.40%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42.80%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66.00%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96.60%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70.00%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50.70%</w:t>
            </w: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Malaria Management and Prevention</w:t>
            </w:r>
          </w:p>
        </w:tc>
      </w:tr>
      <w:tr w:rsidR="00103491" w:rsidRPr="00E9250F" w:rsidTr="00103491">
        <w:trPr>
          <w:trHeight w:val="1200"/>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 xml:space="preserve">Treatment of Fever with ACTs in </w:t>
            </w:r>
            <w:proofErr w:type="spellStart"/>
            <w:r w:rsidRPr="00E9250F">
              <w:rPr>
                <w:rFonts w:ascii="Times New Roman" w:hAnsi="Times New Roman" w:cs="Times New Roman"/>
                <w:sz w:val="20"/>
                <w:szCs w:val="20"/>
                <w:lang w:eastAsia="ko-KR"/>
              </w:rPr>
              <w:t>Malarious</w:t>
            </w:r>
            <w:proofErr w:type="spellEnd"/>
            <w:r w:rsidRPr="00E9250F">
              <w:rPr>
                <w:rFonts w:ascii="Times New Roman" w:hAnsi="Times New Roman" w:cs="Times New Roman"/>
                <w:sz w:val="20"/>
                <w:szCs w:val="20"/>
                <w:lang w:eastAsia="ko-KR"/>
              </w:rPr>
              <w:t xml:space="preserve"> Zones: Percentage of children age 0-23 months with a febrile episode during the last two weeks who were treated with ACTs within 24 hours after the fever began.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16.80%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22.10%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86.10%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16.70%</w:t>
            </w:r>
          </w:p>
        </w:tc>
      </w:tr>
      <w:tr w:rsidR="00103491" w:rsidRPr="00E9250F" w:rsidTr="00103491">
        <w:trPr>
          <w:trHeight w:val="704"/>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ITN Use: Percentage of children age 0-23 months who slept under an insecticide-treated bed net the previous night.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47.2</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46.00%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79.00%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98.60%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85.00%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Water and Sanitation</w:t>
            </w:r>
          </w:p>
        </w:tc>
      </w:tr>
      <w:tr w:rsidR="00103491" w:rsidRPr="00E9250F" w:rsidTr="00103491">
        <w:trPr>
          <w:trHeight w:val="784"/>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Point of Use Water Treatment: Percentage of households of children age 0-23 months that treat water effectively.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13.00%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30.90%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26.01%</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103491" w:rsidRPr="00E9250F" w:rsidTr="00103491">
        <w:trPr>
          <w:trHeight w:val="979"/>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lastRenderedPageBreak/>
              <w:t>Appropriate Hand Washing Practices: Percentage of mothers of children age 0-23 months who live in households with soap at the place for hand washing.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17.00%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14.00%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26.00%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63.2%</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17.00%</w:t>
            </w: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Maternal and Newborn Care (30%)</w:t>
            </w:r>
          </w:p>
        </w:tc>
      </w:tr>
      <w:tr w:rsidR="00103491" w:rsidRPr="00E9250F" w:rsidTr="00103491">
        <w:trPr>
          <w:trHeight w:val="1200"/>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Current Contraceptive Use Among Mothers of Young Children: Percentage of mothers of children age 0-23 months who are using a modern contraceptive method.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13.30%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61.4%</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103491" w:rsidRPr="00E9250F" w:rsidTr="00103491">
        <w:trPr>
          <w:trHeight w:val="1263"/>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Quality Antenatal Care: Percentage of mothers of children age 0-23 months who had four or more antenatal visits with a skilled provider and were adequately counseled when they were pregnant with the youngest child.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70.30%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24.70%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49.00%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73.90%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65.00%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77.60%</w:t>
            </w:r>
          </w:p>
        </w:tc>
      </w:tr>
      <w:tr w:rsidR="00103491" w:rsidRPr="00E9250F" w:rsidTr="00103491">
        <w:trPr>
          <w:trHeight w:val="984"/>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Iron Tablets for Pregnant Women: Percentage of mothers of children age 0-23 months who took iron tablets or syrup before the birth of their youngest child.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16.10%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0.67%</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16.60%</w:t>
            </w:r>
          </w:p>
        </w:tc>
        <w:tc>
          <w:tcPr>
            <w:tcW w:w="897"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65.3%</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21.20%</w:t>
            </w:r>
          </w:p>
        </w:tc>
      </w:tr>
      <w:tr w:rsidR="00103491" w:rsidRPr="00E9250F" w:rsidTr="00103491">
        <w:trPr>
          <w:trHeight w:val="984"/>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Tetanus Toxoid: Percentage of mothers with children age 0-23 months who received at least 2 tetanus toxoid vaccinations before the birth of their youngest child.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91.00%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57.30%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96.00%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82.4%</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91.00%</w:t>
            </w:r>
          </w:p>
        </w:tc>
      </w:tr>
      <w:tr w:rsidR="00103491" w:rsidRPr="00E9250F" w:rsidTr="00103491">
        <w:trPr>
          <w:trHeight w:val="842"/>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Skilled Birth Attendant: Percentage of children age 0-23 months whose births were attended by skilled personnel.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54.20%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22.70%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26.60%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82.50%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64.10%</w:t>
            </w:r>
          </w:p>
        </w:tc>
      </w:tr>
      <w:tr w:rsidR="00103491" w:rsidRPr="00E9250F" w:rsidTr="00103491">
        <w:trPr>
          <w:trHeight w:val="988"/>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Post-Natal Visit to Check on the Newborn: Percentage of children age 0-23 months who received a post-natal visit from an appropriate trained health worker within two days after birth.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26.30%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74.40%</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99.2%</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HIV (15%)</w:t>
            </w:r>
          </w:p>
        </w:tc>
      </w:tr>
      <w:tr w:rsidR="00292470" w:rsidRPr="00E9250F" w:rsidTr="00C65D7A">
        <w:trPr>
          <w:trHeight w:val="315"/>
          <w:jc w:val="center"/>
        </w:trPr>
        <w:tc>
          <w:tcPr>
            <w:tcW w:w="9350" w:type="dxa"/>
            <w:gridSpan w:val="7"/>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Expanded Program on Immunizations (10%)</w:t>
            </w:r>
          </w:p>
        </w:tc>
      </w:tr>
      <w:tr w:rsidR="00103491" w:rsidRPr="00E9250F" w:rsidTr="00103491">
        <w:trPr>
          <w:trHeight w:val="983"/>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Vitamin A Supplementation: Percentage of children age 6-23 months who received a dose of Vitamin A in the last 6 months: card verified or mother’s recall.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92.00%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38.80%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72.10%</w:t>
            </w:r>
          </w:p>
        </w:tc>
        <w:tc>
          <w:tcPr>
            <w:tcW w:w="897"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94.4%</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88.00%</w:t>
            </w:r>
          </w:p>
        </w:tc>
      </w:tr>
      <w:tr w:rsidR="00103491" w:rsidRPr="00E9250F" w:rsidTr="00103491">
        <w:trPr>
          <w:trHeight w:val="983"/>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Measles Vaccination Coverage:  Percent of children aged 12-23 months who received measles vaccine according to the vaccination card or mother’s recall by the time of the survey.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83.00%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45.30%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75.70%</w:t>
            </w:r>
          </w:p>
        </w:tc>
        <w:tc>
          <w:tcPr>
            <w:tcW w:w="897"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97.0%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74.00%</w:t>
            </w:r>
          </w:p>
        </w:tc>
      </w:tr>
      <w:tr w:rsidR="00103491" w:rsidRPr="00E9250F" w:rsidTr="00103491">
        <w:trPr>
          <w:trHeight w:val="983"/>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Access to Immunization Services (DTP1): Percent of children aged 12-23 months who received DTP1 according to the vaccination card or mother’s recall by the time of the survey.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40.10%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45.80%</w:t>
            </w:r>
          </w:p>
        </w:tc>
        <w:tc>
          <w:tcPr>
            <w:tcW w:w="897"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100%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75.00%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r>
      <w:tr w:rsidR="00103491" w:rsidRPr="00E9250F" w:rsidTr="00103491">
        <w:trPr>
          <w:trHeight w:val="1265"/>
          <w:jc w:val="center"/>
        </w:trPr>
        <w:tc>
          <w:tcPr>
            <w:tcW w:w="3964" w:type="dxa"/>
            <w:vAlign w:val="center"/>
            <w:hideMark/>
          </w:tcPr>
          <w:p w:rsidR="00103491" w:rsidRPr="00E9250F" w:rsidRDefault="00103491" w:rsidP="00103491">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lastRenderedPageBreak/>
              <w:t>Health Systems Performance Regarding Immunization Services (DTP3): Percent of children age 12-23 months who received a DTP 3 according to the vaccination card or mother’s recall by the time of the survey (</w:t>
            </w:r>
            <w:r w:rsidRPr="00E9250F">
              <w:rPr>
                <w:rFonts w:ascii="Times New Roman" w:hAnsi="Times New Roman" w:cs="Times New Roman"/>
                <w:i/>
                <w:iCs/>
                <w:sz w:val="20"/>
                <w:szCs w:val="20"/>
                <w:lang w:eastAsia="ko-KR"/>
              </w:rPr>
              <w:t>Rapid CATCH</w:t>
            </w:r>
            <w:r w:rsidRPr="00E9250F">
              <w:rPr>
                <w:rFonts w:ascii="Times New Roman" w:hAnsi="Times New Roman" w:cs="Times New Roman"/>
                <w:sz w:val="20"/>
                <w:szCs w:val="20"/>
                <w:lang w:eastAsia="ko-KR"/>
              </w:rPr>
              <w:t>)</w:t>
            </w:r>
          </w:p>
        </w:tc>
        <w:tc>
          <w:tcPr>
            <w:tcW w:w="897"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81.00%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24.50%</w:t>
            </w: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42.00%</w:t>
            </w:r>
          </w:p>
        </w:tc>
        <w:tc>
          <w:tcPr>
            <w:tcW w:w="897"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99.0%</w:t>
            </w:r>
          </w:p>
        </w:tc>
        <w:tc>
          <w:tcPr>
            <w:tcW w:w="898" w:type="dxa"/>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p>
        </w:tc>
        <w:tc>
          <w:tcPr>
            <w:tcW w:w="898" w:type="dxa"/>
            <w:noWrap/>
            <w:vAlign w:val="center"/>
            <w:hideMark/>
          </w:tcPr>
          <w:p w:rsidR="00103491" w:rsidRPr="00E9250F" w:rsidRDefault="00103491" w:rsidP="002E37EF">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76.00%</w:t>
            </w:r>
          </w:p>
        </w:tc>
      </w:tr>
    </w:tbl>
    <w:p w:rsidR="00103491" w:rsidRPr="00E9250F" w:rsidRDefault="00103491"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Pr="00E9250F" w:rsidRDefault="00292470" w:rsidP="003C19B1">
      <w:pPr>
        <w:pStyle w:val="NoSpacing"/>
        <w:rPr>
          <w:rFonts w:ascii="Times New Roman" w:hAnsi="Times New Roman" w:cs="Times New Roman"/>
          <w:sz w:val="20"/>
          <w:szCs w:val="20"/>
          <w:lang w:eastAsia="ko-KR"/>
        </w:rPr>
      </w:pPr>
    </w:p>
    <w:p w:rsidR="00292470" w:rsidRDefault="00292470" w:rsidP="003C19B1">
      <w:pPr>
        <w:pStyle w:val="NoSpacing"/>
        <w:rPr>
          <w:rFonts w:ascii="Times New Roman" w:hAnsi="Times New Roman" w:cs="Times New Roman"/>
          <w:sz w:val="20"/>
          <w:szCs w:val="20"/>
          <w:lang w:eastAsia="ko-KR"/>
        </w:rPr>
      </w:pPr>
    </w:p>
    <w:p w:rsidR="00292470" w:rsidRPr="0033489A" w:rsidRDefault="00292470" w:rsidP="003C19B1">
      <w:pPr>
        <w:pStyle w:val="NoSpacing"/>
        <w:rPr>
          <w:rFonts w:ascii="Times New Roman" w:hAnsi="Times New Roman" w:cs="Times New Roman"/>
          <w:i/>
          <w:sz w:val="24"/>
          <w:szCs w:val="24"/>
          <w:lang w:eastAsia="ko-KR"/>
        </w:rPr>
      </w:pPr>
      <w:r w:rsidRPr="0033489A">
        <w:rPr>
          <w:rFonts w:ascii="Times New Roman" w:hAnsi="Times New Roman" w:cs="Times New Roman" w:hint="eastAsia"/>
          <w:i/>
          <w:sz w:val="24"/>
          <w:szCs w:val="24"/>
          <w:lang w:eastAsia="ko-KR"/>
        </w:rPr>
        <w:lastRenderedPageBreak/>
        <w:t xml:space="preserve">Reference 2 </w:t>
      </w:r>
      <w:proofErr w:type="gramStart"/>
      <w:r w:rsidRPr="0033489A">
        <w:rPr>
          <w:rFonts w:ascii="Times New Roman" w:hAnsi="Times New Roman" w:cs="Times New Roman" w:hint="eastAsia"/>
          <w:i/>
          <w:sz w:val="24"/>
          <w:szCs w:val="24"/>
          <w:lang w:eastAsia="ko-KR"/>
        </w:rPr>
        <w:t>-  Project</w:t>
      </w:r>
      <w:proofErr w:type="gramEnd"/>
      <w:r w:rsidRPr="0033489A">
        <w:rPr>
          <w:rFonts w:ascii="Times New Roman" w:hAnsi="Times New Roman" w:cs="Times New Roman" w:hint="eastAsia"/>
          <w:i/>
          <w:sz w:val="24"/>
          <w:szCs w:val="24"/>
          <w:lang w:eastAsia="ko-KR"/>
        </w:rPr>
        <w:t xml:space="preserve"> Indicators</w:t>
      </w:r>
    </w:p>
    <w:tbl>
      <w:tblPr>
        <w:tblStyle w:val="TableGrid"/>
        <w:tblW w:w="0" w:type="auto"/>
        <w:jc w:val="center"/>
        <w:tblLayout w:type="fixed"/>
        <w:tblLook w:val="04A0"/>
      </w:tblPr>
      <w:tblGrid>
        <w:gridCol w:w="3964"/>
        <w:gridCol w:w="897"/>
        <w:gridCol w:w="898"/>
        <w:gridCol w:w="898"/>
        <w:gridCol w:w="897"/>
        <w:gridCol w:w="898"/>
        <w:gridCol w:w="898"/>
      </w:tblGrid>
      <w:tr w:rsidR="002E37EF" w:rsidRPr="00E9250F" w:rsidTr="00F64D24">
        <w:trPr>
          <w:trHeight w:val="900"/>
          <w:jc w:val="center"/>
        </w:trPr>
        <w:tc>
          <w:tcPr>
            <w:tcW w:w="3964" w:type="dxa"/>
            <w:vAlign w:val="center"/>
            <w:hideMark/>
          </w:tcPr>
          <w:p w:rsidR="002E37EF" w:rsidRPr="00E9250F" w:rsidRDefault="002E37EF" w:rsidP="00F64D24">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Indicator</w:t>
            </w:r>
          </w:p>
        </w:tc>
        <w:tc>
          <w:tcPr>
            <w:tcW w:w="897"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Liberia National (2009)</w:t>
            </w:r>
          </w:p>
        </w:tc>
        <w:tc>
          <w:tcPr>
            <w:tcW w:w="898"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Baseline (2009)</w:t>
            </w:r>
          </w:p>
        </w:tc>
        <w:tc>
          <w:tcPr>
            <w:tcW w:w="898"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Mid</w:t>
            </w:r>
          </w:p>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(2011)</w:t>
            </w:r>
          </w:p>
        </w:tc>
        <w:tc>
          <w:tcPr>
            <w:tcW w:w="897"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Final (2013)</w:t>
            </w:r>
          </w:p>
        </w:tc>
        <w:tc>
          <w:tcPr>
            <w:tcW w:w="898"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Target</w:t>
            </w:r>
          </w:p>
        </w:tc>
        <w:tc>
          <w:tcPr>
            <w:tcW w:w="898" w:type="dxa"/>
            <w:vAlign w:val="center"/>
            <w:hideMark/>
          </w:tcPr>
          <w:p w:rsidR="002E37EF" w:rsidRPr="0044409C" w:rsidRDefault="002E37EF" w:rsidP="00F64D24">
            <w:pPr>
              <w:pStyle w:val="NoSpacing"/>
              <w:jc w:val="center"/>
              <w:rPr>
                <w:rFonts w:ascii="Times New Roman" w:hAnsi="Times New Roman" w:cs="Times New Roman"/>
                <w:b/>
                <w:bCs/>
                <w:sz w:val="18"/>
                <w:szCs w:val="18"/>
                <w:lang w:eastAsia="ko-KR"/>
              </w:rPr>
            </w:pPr>
            <w:r w:rsidRPr="0044409C">
              <w:rPr>
                <w:rFonts w:ascii="Times New Roman" w:hAnsi="Times New Roman" w:cs="Times New Roman"/>
                <w:b/>
                <w:bCs/>
                <w:sz w:val="18"/>
                <w:szCs w:val="18"/>
                <w:lang w:eastAsia="ko-KR"/>
              </w:rPr>
              <w:t>Liberia National (2013)</w:t>
            </w: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Integrated Management of Childhood Illnesses (45%)</w:t>
            </w:r>
          </w:p>
        </w:tc>
      </w:tr>
      <w:tr w:rsidR="00292470" w:rsidRPr="00E9250F" w:rsidTr="00C65D7A">
        <w:trPr>
          <w:trHeight w:val="315"/>
          <w:jc w:val="center"/>
        </w:trPr>
        <w:tc>
          <w:tcPr>
            <w:tcW w:w="9350" w:type="dxa"/>
            <w:gridSpan w:val="7"/>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Breastfeeding and Child Nutrition</w:t>
            </w:r>
          </w:p>
        </w:tc>
      </w:tr>
      <w:tr w:rsidR="002E37EF" w:rsidRPr="00E9250F" w:rsidTr="00F64D24">
        <w:trPr>
          <w:trHeight w:val="772"/>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Immediate breastfeeding of newborns:  Percentage of children age 0-23 months who were put to the breast within one hour of delivery.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76.20%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73.00%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91.3%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57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Feeding Colostrum: Percentage of children age 0-23 months, who were fed colostrum after birth.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90.70%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95.00%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Diarrhea Case Management</w:t>
            </w:r>
          </w:p>
        </w:tc>
      </w:tr>
      <w:tr w:rsidR="002E37EF" w:rsidRPr="00E9250F" w:rsidTr="00F64D24">
        <w:trPr>
          <w:trHeight w:val="982"/>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Increased fluid intake during a diarrheal episode: Percent of children 0-23 months with diarrhea in the last two weeks who were offered more fluids during the illness.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47.90%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89.00%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92.9%</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981"/>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Increased food intake during a diarrheal episode: Percent of children 0-23 months with diarrhea in the last two weeks who were offered the same amount or more food during the illness.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33.80%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61.60%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65.1%</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84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Zinc Treatment for Diarrhea: Percent of children 0-23 months with diarrhea in the last two weeks who were treated with zinc supplements.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3.1</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5.60%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5.40%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30.90%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699"/>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Maternal competency in ORS preparation: Percent of mother who can correctly prepare ORS.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49.30%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78.40%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66"/>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Maternal hand washing before food preparation: Percent of mothers who usually wash their hands with soap before food preparation, before feeding children, after defecation, and after attending to a child who has defecated.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72.40%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97.3%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70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of children age 0-23 months that own at least one insecticide-treated bed net.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52.50%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83.30%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98.9%</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696"/>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 xml:space="preserve">Percent of children age 0-23 month with a febrile episode during the last two weeks who were taken to </w:t>
            </w:r>
            <w:proofErr w:type="gramStart"/>
            <w:r w:rsidRPr="00E9250F">
              <w:rPr>
                <w:rFonts w:ascii="Times New Roman" w:hAnsi="Times New Roman" w:cs="Times New Roman"/>
                <w:sz w:val="20"/>
                <w:szCs w:val="20"/>
                <w:lang w:eastAsia="ko-KR"/>
              </w:rPr>
              <w:t>a</w:t>
            </w:r>
            <w:proofErr w:type="gramEnd"/>
            <w:r w:rsidRPr="00E9250F">
              <w:rPr>
                <w:rFonts w:ascii="Times New Roman" w:hAnsi="Times New Roman" w:cs="Times New Roman"/>
                <w:sz w:val="20"/>
                <w:szCs w:val="20"/>
                <w:lang w:eastAsia="ko-KR"/>
              </w:rPr>
              <w:t xml:space="preserve"> appropriate place for treatment.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44.60%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50.90%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93.4%</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834"/>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 xml:space="preserve">IPT: Percent of mothers of children age 0-23 months who took effective </w:t>
            </w:r>
            <w:proofErr w:type="spellStart"/>
            <w:r w:rsidRPr="00E9250F">
              <w:rPr>
                <w:rFonts w:ascii="Times New Roman" w:hAnsi="Times New Roman" w:cs="Times New Roman"/>
                <w:sz w:val="20"/>
                <w:szCs w:val="20"/>
                <w:lang w:eastAsia="ko-KR"/>
              </w:rPr>
              <w:t>antimalarials</w:t>
            </w:r>
            <w:proofErr w:type="spellEnd"/>
            <w:r w:rsidRPr="00E9250F">
              <w:rPr>
                <w:rFonts w:ascii="Times New Roman" w:hAnsi="Times New Roman" w:cs="Times New Roman"/>
                <w:sz w:val="20"/>
                <w:szCs w:val="20"/>
                <w:lang w:eastAsia="ko-KR"/>
              </w:rPr>
              <w:t xml:space="preserve"> during the pregnancy with the youngest child.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47.4</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19.00%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23.90%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96.30%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57"/>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lastRenderedPageBreak/>
              <w:t>Mosquito net Use During Pregnancy: Percent of mothers of children age 0-23 months who reported that they slept under a mosquito net all of the time or most of the time during their most recent pregnancy.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37.70%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65.00%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i/>
                <w:iCs/>
                <w:sz w:val="20"/>
                <w:szCs w:val="20"/>
                <w:lang w:eastAsia="ko-KR"/>
              </w:rPr>
            </w:pPr>
            <w:r w:rsidRPr="00E9250F">
              <w:rPr>
                <w:rFonts w:ascii="Times New Roman" w:hAnsi="Times New Roman" w:cs="Times New Roman"/>
                <w:b/>
                <w:bCs/>
                <w:i/>
                <w:iCs/>
                <w:sz w:val="20"/>
                <w:szCs w:val="20"/>
                <w:lang w:eastAsia="ko-KR"/>
              </w:rPr>
              <w:t>Water and Sanitation</w:t>
            </w:r>
          </w:p>
        </w:tc>
      </w:tr>
      <w:tr w:rsidR="002E37EF" w:rsidRPr="00E9250F" w:rsidTr="00F64D24">
        <w:trPr>
          <w:trHeight w:val="555"/>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with an improved source for drinking water.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63.30%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85.00%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99.7%</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699"/>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with an improved source for drinking water within acceptable reach and available daily.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48.30%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53.10%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89.7%</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558"/>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using an improved toilet facility.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 xml:space="preserve">) </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42.50%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95.6%</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558"/>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using an improved, accessible and hygienic toilet facility.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1.20%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7.30%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24.03%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909"/>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Percentage of households where the caretaker of the youngest child 0-23 months reported appropriate handwashing behavior, which is defined as using soap for washing hands during 24 hours recall at 2 critical times or more (after defecation and two of the following 4: after cleaning a young child, before preparing food, before eating, before feeding a child).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0.30%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65.00%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82.7%</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62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that apply effective water treatment regularly.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0.30%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21.3%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558"/>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 of households storing drinking water that store water safely.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11.70%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30.90%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74.90%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708"/>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Percentage of households that disposed of the youngest child’s feces safely the last time s/he passed stool.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90.70%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16.20%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88.6%</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832"/>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Percentage of households that disposed of the youngest child’s feces appropriately the last time s/he passed stool.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33.90%</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96.90%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Maternal and Newborn Care (30%)</w:t>
            </w:r>
          </w:p>
        </w:tc>
      </w:tr>
      <w:tr w:rsidR="002E37EF" w:rsidRPr="00E9250F" w:rsidTr="00F64D24">
        <w:trPr>
          <w:trHeight w:val="120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Knowledge of Danger Signs during Pregnancy: Percentage of mothers of children 0-23 months who knew at least two danger signs during pregnancy.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55.70%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91.30%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98.9%</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983"/>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Knowledge of Maternal Danger Signs During Delivery: Percentage of mothers of children 0-23 months who know at least two danger signs during delivery.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35.70%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29.90%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98.6%</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67"/>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Essential Newborn Care: Percentage of children age 0-23 who received all three elements of essential newborn care: thermal protection immediately after birth, clean cord care, and immediate and exclusive breastfeeding.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34.00%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64.50%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85.9%</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83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lastRenderedPageBreak/>
              <w:t>Knowledge of Post-partum Danger Signs: Percentage of mothers of children age 0-23 months who knew at least two post-partum danger signs.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47.70%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87.00%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98.3%</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67"/>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Post-Partum Visit for the Mother: Percentage of mothers of children age 0-23 who received a post-partum visit from an appropriate trained health worker within two days after the birth of the youngest child.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17.20%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58.10%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846"/>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Knowledge of Neonatal Danger Signs: Percentage of mothers of children age 0-23 who know at least two neonatal danger signs.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37.30%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93.70%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100%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00"/>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Maternal Knowledge of Child Danger Signs: Percent of mothers of children aged 0-23 months who know at least two signs of childhood illness that indicate the need for treatment.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60.30%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96.00%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99.7%</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92470" w:rsidRPr="00E9250F" w:rsidTr="00C65D7A">
        <w:trPr>
          <w:trHeight w:val="338"/>
          <w:jc w:val="center"/>
        </w:trPr>
        <w:tc>
          <w:tcPr>
            <w:tcW w:w="9350" w:type="dxa"/>
            <w:gridSpan w:val="7"/>
            <w:noWrap/>
            <w:vAlign w:val="center"/>
            <w:hideMark/>
          </w:tcPr>
          <w:p w:rsidR="00292470" w:rsidRPr="00E9250F" w:rsidRDefault="00292470" w:rsidP="00292470">
            <w:pPr>
              <w:pStyle w:val="NoSpacing"/>
              <w:rPr>
                <w:rFonts w:ascii="Times New Roman" w:hAnsi="Times New Roman" w:cs="Times New Roman"/>
                <w:b/>
                <w:bCs/>
                <w:sz w:val="20"/>
                <w:szCs w:val="20"/>
                <w:lang w:eastAsia="ko-KR"/>
              </w:rPr>
            </w:pPr>
            <w:r w:rsidRPr="00E9250F">
              <w:rPr>
                <w:rFonts w:ascii="Times New Roman" w:hAnsi="Times New Roman" w:cs="Times New Roman"/>
                <w:b/>
                <w:bCs/>
                <w:sz w:val="20"/>
                <w:szCs w:val="20"/>
                <w:lang w:eastAsia="ko-KR"/>
              </w:rPr>
              <w:t>HIV (15%)</w:t>
            </w:r>
          </w:p>
        </w:tc>
      </w:tr>
      <w:tr w:rsidR="002E37EF" w:rsidRPr="00E9250F" w:rsidTr="00F64D24">
        <w:trPr>
          <w:trHeight w:val="1264"/>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Knowledge of MTCT of HIV: Percentage of mothers of children age 0-23 months who know that HIV can be transmitted from an HIV-positive mother to her unborn child during pregnancy, during delivery, and through breastfeeding.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32.70%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75.40%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98.6%</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67"/>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Knowledge of PMTCT of HIV: Percentage mothers of children age 0-23 months who know that there are special medications that can be given to a pregnant woman infected with HIV to reduce the risk of mother-to-child transmission.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28.70%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75.70%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96.9%</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r w:rsidR="002E37EF" w:rsidRPr="00E9250F" w:rsidTr="00F64D24">
        <w:trPr>
          <w:trHeight w:val="1257"/>
          <w:jc w:val="center"/>
        </w:trPr>
        <w:tc>
          <w:tcPr>
            <w:tcW w:w="3964" w:type="dxa"/>
            <w:vAlign w:val="center"/>
            <w:hideMark/>
          </w:tcPr>
          <w:p w:rsidR="002E37EF" w:rsidRPr="00E9250F" w:rsidRDefault="002E37EF" w:rsidP="00F64D24">
            <w:pPr>
              <w:pStyle w:val="NoSpacing"/>
              <w:rPr>
                <w:rFonts w:ascii="Times New Roman" w:hAnsi="Times New Roman" w:cs="Times New Roman"/>
                <w:sz w:val="20"/>
                <w:szCs w:val="20"/>
                <w:lang w:eastAsia="ko-KR"/>
              </w:rPr>
            </w:pPr>
            <w:r w:rsidRPr="00E9250F">
              <w:rPr>
                <w:rFonts w:ascii="Times New Roman" w:hAnsi="Times New Roman" w:cs="Times New Roman"/>
                <w:sz w:val="20"/>
                <w:szCs w:val="20"/>
                <w:lang w:eastAsia="ko-KR"/>
              </w:rPr>
              <w:t>HIV Testing During Pregnancy: Percentage of mothers of children 0-23 months who were counseled about HIV during the pregnancy, accepted an offer of testing, and received their test results when they were pregnant with their youngest child. (</w:t>
            </w:r>
            <w:r w:rsidRPr="00E9250F">
              <w:rPr>
                <w:rFonts w:ascii="Times New Roman" w:hAnsi="Times New Roman" w:cs="Times New Roman"/>
                <w:i/>
                <w:iCs/>
                <w:sz w:val="20"/>
                <w:szCs w:val="20"/>
                <w:lang w:eastAsia="ko-KR"/>
              </w:rPr>
              <w:t>Project Indicator</w:t>
            </w:r>
            <w:r w:rsidRPr="00E9250F">
              <w:rPr>
                <w:rFonts w:ascii="Times New Roman" w:hAnsi="Times New Roman" w:cs="Times New Roman"/>
                <w:sz w:val="20"/>
                <w:szCs w:val="20"/>
                <w:lang w:eastAsia="ko-KR"/>
              </w:rPr>
              <w:t>)</w:t>
            </w:r>
          </w:p>
        </w:tc>
        <w:tc>
          <w:tcPr>
            <w:tcW w:w="897"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20.30%</w:t>
            </w:r>
          </w:p>
        </w:tc>
        <w:tc>
          <w:tcPr>
            <w:tcW w:w="898"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68.10%</w:t>
            </w:r>
          </w:p>
        </w:tc>
        <w:tc>
          <w:tcPr>
            <w:tcW w:w="897" w:type="dxa"/>
            <w:noWrap/>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96.90%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r w:rsidRPr="00E9250F">
              <w:rPr>
                <w:rFonts w:ascii="Times New Roman" w:hAnsi="Times New Roman" w:cs="Times New Roman"/>
                <w:sz w:val="20"/>
                <w:szCs w:val="20"/>
                <w:lang w:eastAsia="ko-KR"/>
              </w:rPr>
              <w:t>75.00%</w:t>
            </w:r>
          </w:p>
        </w:tc>
        <w:tc>
          <w:tcPr>
            <w:tcW w:w="898" w:type="dxa"/>
            <w:vAlign w:val="center"/>
            <w:hideMark/>
          </w:tcPr>
          <w:p w:rsidR="002E37EF" w:rsidRPr="00E9250F" w:rsidRDefault="002E37EF" w:rsidP="00F64D24">
            <w:pPr>
              <w:pStyle w:val="NoSpacing"/>
              <w:jc w:val="center"/>
              <w:rPr>
                <w:rFonts w:ascii="Times New Roman" w:hAnsi="Times New Roman" w:cs="Times New Roman"/>
                <w:sz w:val="20"/>
                <w:szCs w:val="20"/>
                <w:lang w:eastAsia="ko-KR"/>
              </w:rPr>
            </w:pPr>
          </w:p>
        </w:tc>
      </w:tr>
    </w:tbl>
    <w:p w:rsidR="002E37EF" w:rsidRPr="00E9250F" w:rsidRDefault="002E37EF" w:rsidP="003C19B1">
      <w:pPr>
        <w:pStyle w:val="NoSpacing"/>
        <w:rPr>
          <w:rFonts w:ascii="Times New Roman" w:hAnsi="Times New Roman" w:cs="Times New Roman"/>
          <w:sz w:val="20"/>
          <w:szCs w:val="20"/>
          <w:lang w:eastAsia="ko-KR"/>
        </w:rPr>
      </w:pPr>
    </w:p>
    <w:sectPr w:rsidR="002E37EF" w:rsidRPr="00E9250F" w:rsidSect="004D59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7A" w:rsidRDefault="00C65D7A" w:rsidP="00F61206">
      <w:pPr>
        <w:spacing w:after="0" w:line="240" w:lineRule="auto"/>
      </w:pPr>
      <w:r>
        <w:separator/>
      </w:r>
    </w:p>
  </w:endnote>
  <w:endnote w:type="continuationSeparator" w:id="0">
    <w:p w:rsidR="00C65D7A" w:rsidRDefault="00C65D7A" w:rsidP="00F6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0426"/>
      <w:docPartObj>
        <w:docPartGallery w:val="Page Numbers (Bottom of Page)"/>
        <w:docPartUnique/>
      </w:docPartObj>
    </w:sdtPr>
    <w:sdtContent>
      <w:p w:rsidR="00C65D7A" w:rsidRDefault="00F3297F" w:rsidP="00F61206">
        <w:pPr>
          <w:pStyle w:val="Footer"/>
          <w:jc w:val="center"/>
        </w:pPr>
        <w:r w:rsidRPr="00F61206">
          <w:rPr>
            <w:rFonts w:ascii="Times New Roman" w:hAnsi="Times New Roman" w:cs="Times New Roman"/>
          </w:rPr>
          <w:fldChar w:fldCharType="begin"/>
        </w:r>
        <w:r w:rsidR="00C65D7A" w:rsidRPr="00F61206">
          <w:rPr>
            <w:rFonts w:ascii="Times New Roman" w:hAnsi="Times New Roman" w:cs="Times New Roman"/>
          </w:rPr>
          <w:instrText xml:space="preserve"> PAGE   \* MERGEFORMAT </w:instrText>
        </w:r>
        <w:r w:rsidRPr="00F61206">
          <w:rPr>
            <w:rFonts w:ascii="Times New Roman" w:hAnsi="Times New Roman" w:cs="Times New Roman"/>
          </w:rPr>
          <w:fldChar w:fldCharType="separate"/>
        </w:r>
        <w:r w:rsidR="008C3727">
          <w:rPr>
            <w:rFonts w:ascii="Times New Roman" w:hAnsi="Times New Roman" w:cs="Times New Roman"/>
            <w:noProof/>
          </w:rPr>
          <w:t>9</w:t>
        </w:r>
        <w:r w:rsidRPr="00F61206">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7A" w:rsidRDefault="00C65D7A" w:rsidP="00F61206">
      <w:pPr>
        <w:spacing w:after="0" w:line="240" w:lineRule="auto"/>
      </w:pPr>
      <w:r>
        <w:separator/>
      </w:r>
    </w:p>
  </w:footnote>
  <w:footnote w:type="continuationSeparator" w:id="0">
    <w:p w:rsidR="00C65D7A" w:rsidRDefault="00C65D7A" w:rsidP="00F6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cs="Times New Roman"/>
        <w:sz w:val="24"/>
        <w:szCs w:val="24"/>
      </w:rPr>
      <w:alias w:val="Title"/>
      <w:id w:val="77547040"/>
      <w:placeholder>
        <w:docPart w:val="CE33A3F70AAB49CEADCD36A35FEEEDA8"/>
      </w:placeholder>
      <w:dataBinding w:prefixMappings="xmlns:ns0='http://schemas.openxmlformats.org/package/2006/metadata/core-properties' xmlns:ns1='http://purl.org/dc/elements/1.1/'" w:xpath="/ns0:coreProperties[1]/ns1:title[1]" w:storeItemID="{6C3C8BC8-F283-45AE-878A-BAB7291924A1}"/>
      <w:text/>
    </w:sdtPr>
    <w:sdtContent>
      <w:p w:rsidR="00C65D7A" w:rsidRPr="00F61206" w:rsidRDefault="00C65D7A">
        <w:pPr>
          <w:pStyle w:val="Header"/>
          <w:pBdr>
            <w:between w:val="single" w:sz="4" w:space="1" w:color="4F81BD" w:themeColor="accent1"/>
          </w:pBdr>
          <w:spacing w:line="276" w:lineRule="auto"/>
          <w:jc w:val="center"/>
          <w:rPr>
            <w:rFonts w:ascii="Arial Narrow" w:hAnsi="Arial Narrow" w:cs="Times New Roman"/>
            <w:sz w:val="24"/>
            <w:szCs w:val="24"/>
          </w:rPr>
        </w:pPr>
        <w:r w:rsidRPr="00F61206">
          <w:rPr>
            <w:rFonts w:ascii="Arial Narrow" w:hAnsi="Arial Narrow" w:cs="Times New Roman"/>
            <w:sz w:val="24"/>
            <w:szCs w:val="24"/>
          </w:rPr>
          <w:t xml:space="preserve">Summary Report of the </w:t>
        </w:r>
        <w:proofErr w:type="spellStart"/>
        <w:r w:rsidRPr="00F61206">
          <w:rPr>
            <w:rFonts w:ascii="Arial Narrow" w:hAnsi="Arial Narrow" w:cs="Times New Roman"/>
            <w:sz w:val="24"/>
            <w:szCs w:val="24"/>
          </w:rPr>
          <w:t>Nehnwaa</w:t>
        </w:r>
        <w:proofErr w:type="spellEnd"/>
        <w:r w:rsidRPr="00F61206">
          <w:rPr>
            <w:rFonts w:ascii="Arial Narrow" w:hAnsi="Arial Narrow" w:cs="Times New Roman"/>
            <w:sz w:val="24"/>
            <w:szCs w:val="24"/>
          </w:rPr>
          <w:t xml:space="preserve"> Project (2009-2013)</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2E5"/>
    <w:multiLevelType w:val="hybridMultilevel"/>
    <w:tmpl w:val="FA16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16E30"/>
    <w:multiLevelType w:val="hybridMultilevel"/>
    <w:tmpl w:val="CE147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444CA"/>
    <w:multiLevelType w:val="hybridMultilevel"/>
    <w:tmpl w:val="83584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8659D"/>
    <w:multiLevelType w:val="hybridMultilevel"/>
    <w:tmpl w:val="0742B6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AB81437"/>
    <w:multiLevelType w:val="hybridMultilevel"/>
    <w:tmpl w:val="AA16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F479E"/>
    <w:multiLevelType w:val="hybridMultilevel"/>
    <w:tmpl w:val="654A35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7CF2DF7"/>
    <w:multiLevelType w:val="hybridMultilevel"/>
    <w:tmpl w:val="1CCC0F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A3A0EAA"/>
    <w:multiLevelType w:val="hybridMultilevel"/>
    <w:tmpl w:val="9B743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660AB"/>
    <w:multiLevelType w:val="hybridMultilevel"/>
    <w:tmpl w:val="B6F2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75E76"/>
    <w:multiLevelType w:val="hybridMultilevel"/>
    <w:tmpl w:val="4246E4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696774F"/>
    <w:multiLevelType w:val="hybridMultilevel"/>
    <w:tmpl w:val="B8646B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E355C92"/>
    <w:multiLevelType w:val="hybridMultilevel"/>
    <w:tmpl w:val="41C80B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7FC0318"/>
    <w:multiLevelType w:val="hybridMultilevel"/>
    <w:tmpl w:val="8C90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7464A"/>
    <w:multiLevelType w:val="hybridMultilevel"/>
    <w:tmpl w:val="B01E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4"/>
  </w:num>
  <w:num w:numId="3">
    <w:abstractNumId w:val="0"/>
  </w:num>
  <w:num w:numId="4">
    <w:abstractNumId w:val="2"/>
  </w:num>
  <w:num w:numId="5">
    <w:abstractNumId w:val="8"/>
  </w:num>
  <w:num w:numId="6">
    <w:abstractNumId w:val="7"/>
  </w:num>
  <w:num w:numId="7">
    <w:abstractNumId w:val="1"/>
  </w:num>
  <w:num w:numId="8">
    <w:abstractNumId w:val="3"/>
  </w:num>
  <w:num w:numId="9">
    <w:abstractNumId w:val="6"/>
  </w:num>
  <w:num w:numId="10">
    <w:abstractNumId w:val="10"/>
  </w:num>
  <w:num w:numId="11">
    <w:abstractNumId w:val="9"/>
  </w:num>
  <w:num w:numId="12">
    <w:abstractNumId w:val="1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235BED"/>
    <w:rsid w:val="00007724"/>
    <w:rsid w:val="00084933"/>
    <w:rsid w:val="0009118A"/>
    <w:rsid w:val="000D7CC2"/>
    <w:rsid w:val="000F25F8"/>
    <w:rsid w:val="00103491"/>
    <w:rsid w:val="00106D2A"/>
    <w:rsid w:val="00107B82"/>
    <w:rsid w:val="001219D0"/>
    <w:rsid w:val="00147C0A"/>
    <w:rsid w:val="00157DF8"/>
    <w:rsid w:val="00172713"/>
    <w:rsid w:val="00174A16"/>
    <w:rsid w:val="001870DF"/>
    <w:rsid w:val="00200D22"/>
    <w:rsid w:val="002170C3"/>
    <w:rsid w:val="002179B1"/>
    <w:rsid w:val="00230507"/>
    <w:rsid w:val="00235BED"/>
    <w:rsid w:val="002615C8"/>
    <w:rsid w:val="00266E8B"/>
    <w:rsid w:val="00292470"/>
    <w:rsid w:val="002C1551"/>
    <w:rsid w:val="002E37EF"/>
    <w:rsid w:val="002F102C"/>
    <w:rsid w:val="002F2B9B"/>
    <w:rsid w:val="00306AAA"/>
    <w:rsid w:val="003175E6"/>
    <w:rsid w:val="00317716"/>
    <w:rsid w:val="00317EB5"/>
    <w:rsid w:val="00331672"/>
    <w:rsid w:val="0033489A"/>
    <w:rsid w:val="00343F7F"/>
    <w:rsid w:val="003457BB"/>
    <w:rsid w:val="0037341F"/>
    <w:rsid w:val="003C1201"/>
    <w:rsid w:val="003C19B1"/>
    <w:rsid w:val="0040329F"/>
    <w:rsid w:val="0042108D"/>
    <w:rsid w:val="0044409C"/>
    <w:rsid w:val="0049244D"/>
    <w:rsid w:val="004D59A5"/>
    <w:rsid w:val="004D781C"/>
    <w:rsid w:val="005045E8"/>
    <w:rsid w:val="00504873"/>
    <w:rsid w:val="00510D61"/>
    <w:rsid w:val="005259FD"/>
    <w:rsid w:val="005414B4"/>
    <w:rsid w:val="00544CB2"/>
    <w:rsid w:val="005462A2"/>
    <w:rsid w:val="00577156"/>
    <w:rsid w:val="0057753B"/>
    <w:rsid w:val="005C3BDB"/>
    <w:rsid w:val="005E45FD"/>
    <w:rsid w:val="00606434"/>
    <w:rsid w:val="00611AA7"/>
    <w:rsid w:val="00646670"/>
    <w:rsid w:val="00652ACD"/>
    <w:rsid w:val="00670753"/>
    <w:rsid w:val="0067322A"/>
    <w:rsid w:val="006C030C"/>
    <w:rsid w:val="006C100F"/>
    <w:rsid w:val="006C638F"/>
    <w:rsid w:val="006F67B8"/>
    <w:rsid w:val="007060D6"/>
    <w:rsid w:val="007234D4"/>
    <w:rsid w:val="00771D82"/>
    <w:rsid w:val="0078169B"/>
    <w:rsid w:val="007D2666"/>
    <w:rsid w:val="007D339E"/>
    <w:rsid w:val="007D5B0F"/>
    <w:rsid w:val="00826700"/>
    <w:rsid w:val="00831146"/>
    <w:rsid w:val="008366B4"/>
    <w:rsid w:val="00840AAF"/>
    <w:rsid w:val="00853659"/>
    <w:rsid w:val="008775B0"/>
    <w:rsid w:val="00885FB0"/>
    <w:rsid w:val="008C3727"/>
    <w:rsid w:val="008F1CC4"/>
    <w:rsid w:val="00920B29"/>
    <w:rsid w:val="009337A0"/>
    <w:rsid w:val="00951849"/>
    <w:rsid w:val="009574EF"/>
    <w:rsid w:val="009D347A"/>
    <w:rsid w:val="009F4E70"/>
    <w:rsid w:val="00A061E2"/>
    <w:rsid w:val="00A37163"/>
    <w:rsid w:val="00AB5B84"/>
    <w:rsid w:val="00AF7B8B"/>
    <w:rsid w:val="00B233D9"/>
    <w:rsid w:val="00B263FB"/>
    <w:rsid w:val="00B52722"/>
    <w:rsid w:val="00B54457"/>
    <w:rsid w:val="00B72FEF"/>
    <w:rsid w:val="00B81427"/>
    <w:rsid w:val="00BA40A1"/>
    <w:rsid w:val="00BB0B9E"/>
    <w:rsid w:val="00BB1541"/>
    <w:rsid w:val="00BB15C3"/>
    <w:rsid w:val="00BB2844"/>
    <w:rsid w:val="00BB7D9C"/>
    <w:rsid w:val="00C130B7"/>
    <w:rsid w:val="00C16B64"/>
    <w:rsid w:val="00C33B71"/>
    <w:rsid w:val="00C40E39"/>
    <w:rsid w:val="00C65D7A"/>
    <w:rsid w:val="00CB02E9"/>
    <w:rsid w:val="00D352C8"/>
    <w:rsid w:val="00D755B8"/>
    <w:rsid w:val="00D81FCB"/>
    <w:rsid w:val="00DA0ADE"/>
    <w:rsid w:val="00DE47EF"/>
    <w:rsid w:val="00DF1EB8"/>
    <w:rsid w:val="00E11AC2"/>
    <w:rsid w:val="00E177B7"/>
    <w:rsid w:val="00E2160B"/>
    <w:rsid w:val="00E52549"/>
    <w:rsid w:val="00E9250F"/>
    <w:rsid w:val="00EA51E2"/>
    <w:rsid w:val="00EB128A"/>
    <w:rsid w:val="00F3297F"/>
    <w:rsid w:val="00F412DF"/>
    <w:rsid w:val="00F43472"/>
    <w:rsid w:val="00F61206"/>
    <w:rsid w:val="00F61883"/>
    <w:rsid w:val="00F64D24"/>
    <w:rsid w:val="00FC309F"/>
    <w:rsid w:val="00FD5127"/>
    <w:rsid w:val="00FE22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ED"/>
    <w:pPr>
      <w:ind w:left="720"/>
      <w:contextualSpacing/>
    </w:pPr>
  </w:style>
  <w:style w:type="paragraph" w:styleId="NoSpacing">
    <w:name w:val="No Spacing"/>
    <w:link w:val="NoSpacingChar"/>
    <w:uiPriority w:val="1"/>
    <w:qFormat/>
    <w:rsid w:val="00235BED"/>
    <w:pPr>
      <w:spacing w:after="0" w:line="240" w:lineRule="auto"/>
    </w:pPr>
  </w:style>
  <w:style w:type="paragraph" w:styleId="Header">
    <w:name w:val="header"/>
    <w:basedOn w:val="Normal"/>
    <w:link w:val="HeaderChar"/>
    <w:uiPriority w:val="99"/>
    <w:unhideWhenUsed/>
    <w:rsid w:val="00F61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06"/>
  </w:style>
  <w:style w:type="paragraph" w:styleId="Footer">
    <w:name w:val="footer"/>
    <w:basedOn w:val="Normal"/>
    <w:link w:val="FooterChar"/>
    <w:uiPriority w:val="99"/>
    <w:unhideWhenUsed/>
    <w:rsid w:val="00F6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06"/>
  </w:style>
  <w:style w:type="paragraph" w:customStyle="1" w:styleId="4D3FC6A7267447BDB5359E4E033ED01D">
    <w:name w:val="4D3FC6A7267447BDB5359E4E033ED01D"/>
    <w:rsid w:val="00F61206"/>
  </w:style>
  <w:style w:type="table" w:styleId="TableGrid">
    <w:name w:val="Table Grid"/>
    <w:basedOn w:val="TableNormal"/>
    <w:uiPriority w:val="59"/>
    <w:rsid w:val="00A3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2666"/>
    <w:rPr>
      <w:color w:val="808080"/>
    </w:rPr>
  </w:style>
  <w:style w:type="character" w:customStyle="1" w:styleId="NoSpacingChar">
    <w:name w:val="No Spacing Char"/>
    <w:basedOn w:val="DefaultParagraphFont"/>
    <w:link w:val="NoSpacing"/>
    <w:uiPriority w:val="1"/>
    <w:rsid w:val="00B263FB"/>
  </w:style>
</w:styles>
</file>

<file path=word/webSettings.xml><?xml version="1.0" encoding="utf-8"?>
<w:webSettings xmlns:r="http://schemas.openxmlformats.org/officeDocument/2006/relationships" xmlns:w="http://schemas.openxmlformats.org/wordprocessingml/2006/main">
  <w:divs>
    <w:div w:id="36511114">
      <w:bodyDiv w:val="1"/>
      <w:marLeft w:val="0"/>
      <w:marRight w:val="0"/>
      <w:marTop w:val="0"/>
      <w:marBottom w:val="0"/>
      <w:divBdr>
        <w:top w:val="none" w:sz="0" w:space="0" w:color="auto"/>
        <w:left w:val="none" w:sz="0" w:space="0" w:color="auto"/>
        <w:bottom w:val="none" w:sz="0" w:space="0" w:color="auto"/>
        <w:right w:val="none" w:sz="0" w:space="0" w:color="auto"/>
      </w:divBdr>
    </w:div>
    <w:div w:id="205458033">
      <w:bodyDiv w:val="1"/>
      <w:marLeft w:val="0"/>
      <w:marRight w:val="0"/>
      <w:marTop w:val="0"/>
      <w:marBottom w:val="0"/>
      <w:divBdr>
        <w:top w:val="none" w:sz="0" w:space="0" w:color="auto"/>
        <w:left w:val="none" w:sz="0" w:space="0" w:color="auto"/>
        <w:bottom w:val="none" w:sz="0" w:space="0" w:color="auto"/>
        <w:right w:val="none" w:sz="0" w:space="0" w:color="auto"/>
      </w:divBdr>
    </w:div>
    <w:div w:id="224415058">
      <w:bodyDiv w:val="1"/>
      <w:marLeft w:val="0"/>
      <w:marRight w:val="0"/>
      <w:marTop w:val="0"/>
      <w:marBottom w:val="0"/>
      <w:divBdr>
        <w:top w:val="none" w:sz="0" w:space="0" w:color="auto"/>
        <w:left w:val="none" w:sz="0" w:space="0" w:color="auto"/>
        <w:bottom w:val="none" w:sz="0" w:space="0" w:color="auto"/>
        <w:right w:val="none" w:sz="0" w:space="0" w:color="auto"/>
      </w:divBdr>
    </w:div>
    <w:div w:id="248582309">
      <w:bodyDiv w:val="1"/>
      <w:marLeft w:val="0"/>
      <w:marRight w:val="0"/>
      <w:marTop w:val="0"/>
      <w:marBottom w:val="0"/>
      <w:divBdr>
        <w:top w:val="none" w:sz="0" w:space="0" w:color="auto"/>
        <w:left w:val="none" w:sz="0" w:space="0" w:color="auto"/>
        <w:bottom w:val="none" w:sz="0" w:space="0" w:color="auto"/>
        <w:right w:val="none" w:sz="0" w:space="0" w:color="auto"/>
      </w:divBdr>
    </w:div>
    <w:div w:id="754088078">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951477516">
      <w:bodyDiv w:val="1"/>
      <w:marLeft w:val="0"/>
      <w:marRight w:val="0"/>
      <w:marTop w:val="0"/>
      <w:marBottom w:val="0"/>
      <w:divBdr>
        <w:top w:val="none" w:sz="0" w:space="0" w:color="auto"/>
        <w:left w:val="none" w:sz="0" w:space="0" w:color="auto"/>
        <w:bottom w:val="none" w:sz="0" w:space="0" w:color="auto"/>
        <w:right w:val="none" w:sz="0" w:space="0" w:color="auto"/>
      </w:divBdr>
    </w:div>
    <w:div w:id="1168715328">
      <w:bodyDiv w:val="1"/>
      <w:marLeft w:val="0"/>
      <w:marRight w:val="0"/>
      <w:marTop w:val="0"/>
      <w:marBottom w:val="0"/>
      <w:divBdr>
        <w:top w:val="none" w:sz="0" w:space="0" w:color="auto"/>
        <w:left w:val="none" w:sz="0" w:space="0" w:color="auto"/>
        <w:bottom w:val="none" w:sz="0" w:space="0" w:color="auto"/>
        <w:right w:val="none" w:sz="0" w:space="0" w:color="auto"/>
      </w:divBdr>
    </w:div>
    <w:div w:id="1212425026">
      <w:bodyDiv w:val="1"/>
      <w:marLeft w:val="0"/>
      <w:marRight w:val="0"/>
      <w:marTop w:val="0"/>
      <w:marBottom w:val="0"/>
      <w:divBdr>
        <w:top w:val="none" w:sz="0" w:space="0" w:color="auto"/>
        <w:left w:val="none" w:sz="0" w:space="0" w:color="auto"/>
        <w:bottom w:val="none" w:sz="0" w:space="0" w:color="auto"/>
        <w:right w:val="none" w:sz="0" w:space="0" w:color="auto"/>
      </w:divBdr>
    </w:div>
    <w:div w:id="1240284596">
      <w:bodyDiv w:val="1"/>
      <w:marLeft w:val="0"/>
      <w:marRight w:val="0"/>
      <w:marTop w:val="0"/>
      <w:marBottom w:val="0"/>
      <w:divBdr>
        <w:top w:val="none" w:sz="0" w:space="0" w:color="auto"/>
        <w:left w:val="none" w:sz="0" w:space="0" w:color="auto"/>
        <w:bottom w:val="none" w:sz="0" w:space="0" w:color="auto"/>
        <w:right w:val="none" w:sz="0" w:space="0" w:color="auto"/>
      </w:divBdr>
    </w:div>
    <w:div w:id="1297368284">
      <w:bodyDiv w:val="1"/>
      <w:marLeft w:val="0"/>
      <w:marRight w:val="0"/>
      <w:marTop w:val="0"/>
      <w:marBottom w:val="0"/>
      <w:divBdr>
        <w:top w:val="none" w:sz="0" w:space="0" w:color="auto"/>
        <w:left w:val="none" w:sz="0" w:space="0" w:color="auto"/>
        <w:bottom w:val="none" w:sz="0" w:space="0" w:color="auto"/>
        <w:right w:val="none" w:sz="0" w:space="0" w:color="auto"/>
      </w:divBdr>
    </w:div>
    <w:div w:id="1497914732">
      <w:bodyDiv w:val="1"/>
      <w:marLeft w:val="0"/>
      <w:marRight w:val="0"/>
      <w:marTop w:val="0"/>
      <w:marBottom w:val="0"/>
      <w:divBdr>
        <w:top w:val="none" w:sz="0" w:space="0" w:color="auto"/>
        <w:left w:val="none" w:sz="0" w:space="0" w:color="auto"/>
        <w:bottom w:val="none" w:sz="0" w:space="0" w:color="auto"/>
        <w:right w:val="none" w:sz="0" w:space="0" w:color="auto"/>
      </w:divBdr>
    </w:div>
    <w:div w:id="1552034068">
      <w:bodyDiv w:val="1"/>
      <w:marLeft w:val="0"/>
      <w:marRight w:val="0"/>
      <w:marTop w:val="0"/>
      <w:marBottom w:val="0"/>
      <w:divBdr>
        <w:top w:val="none" w:sz="0" w:space="0" w:color="auto"/>
        <w:left w:val="none" w:sz="0" w:space="0" w:color="auto"/>
        <w:bottom w:val="none" w:sz="0" w:space="0" w:color="auto"/>
        <w:right w:val="none" w:sz="0" w:space="0" w:color="auto"/>
      </w:divBdr>
    </w:div>
    <w:div w:id="1626621109">
      <w:bodyDiv w:val="1"/>
      <w:marLeft w:val="0"/>
      <w:marRight w:val="0"/>
      <w:marTop w:val="0"/>
      <w:marBottom w:val="0"/>
      <w:divBdr>
        <w:top w:val="none" w:sz="0" w:space="0" w:color="auto"/>
        <w:left w:val="none" w:sz="0" w:space="0" w:color="auto"/>
        <w:bottom w:val="none" w:sz="0" w:space="0" w:color="auto"/>
        <w:right w:val="none" w:sz="0" w:space="0" w:color="auto"/>
      </w:divBdr>
    </w:div>
    <w:div w:id="1727878231">
      <w:bodyDiv w:val="1"/>
      <w:marLeft w:val="0"/>
      <w:marRight w:val="0"/>
      <w:marTop w:val="0"/>
      <w:marBottom w:val="0"/>
      <w:divBdr>
        <w:top w:val="none" w:sz="0" w:space="0" w:color="auto"/>
        <w:left w:val="none" w:sz="0" w:space="0" w:color="auto"/>
        <w:bottom w:val="none" w:sz="0" w:space="0" w:color="auto"/>
        <w:right w:val="none" w:sz="0" w:space="0" w:color="auto"/>
      </w:divBdr>
    </w:div>
    <w:div w:id="1875268882">
      <w:bodyDiv w:val="1"/>
      <w:marLeft w:val="0"/>
      <w:marRight w:val="0"/>
      <w:marTop w:val="0"/>
      <w:marBottom w:val="0"/>
      <w:divBdr>
        <w:top w:val="none" w:sz="0" w:space="0" w:color="auto"/>
        <w:left w:val="none" w:sz="0" w:space="0" w:color="auto"/>
        <w:bottom w:val="none" w:sz="0" w:space="0" w:color="auto"/>
        <w:right w:val="none" w:sz="0" w:space="0" w:color="auto"/>
      </w:divBdr>
    </w:div>
    <w:div w:id="1896240056">
      <w:bodyDiv w:val="1"/>
      <w:marLeft w:val="0"/>
      <w:marRight w:val="0"/>
      <w:marTop w:val="0"/>
      <w:marBottom w:val="0"/>
      <w:divBdr>
        <w:top w:val="none" w:sz="0" w:space="0" w:color="auto"/>
        <w:left w:val="none" w:sz="0" w:space="0" w:color="auto"/>
        <w:bottom w:val="none" w:sz="0" w:space="0" w:color="auto"/>
        <w:right w:val="none" w:sz="0" w:space="0" w:color="auto"/>
      </w:divBdr>
    </w:div>
    <w:div w:id="1934165916">
      <w:bodyDiv w:val="1"/>
      <w:marLeft w:val="0"/>
      <w:marRight w:val="0"/>
      <w:marTop w:val="0"/>
      <w:marBottom w:val="0"/>
      <w:divBdr>
        <w:top w:val="none" w:sz="0" w:space="0" w:color="auto"/>
        <w:left w:val="none" w:sz="0" w:space="0" w:color="auto"/>
        <w:bottom w:val="none" w:sz="0" w:space="0" w:color="auto"/>
        <w:right w:val="none" w:sz="0" w:space="0" w:color="auto"/>
      </w:divBdr>
    </w:div>
    <w:div w:id="1960455397">
      <w:bodyDiv w:val="1"/>
      <w:marLeft w:val="0"/>
      <w:marRight w:val="0"/>
      <w:marTop w:val="0"/>
      <w:marBottom w:val="0"/>
      <w:divBdr>
        <w:top w:val="none" w:sz="0" w:space="0" w:color="auto"/>
        <w:left w:val="none" w:sz="0" w:space="0" w:color="auto"/>
        <w:bottom w:val="none" w:sz="0" w:space="0" w:color="auto"/>
        <w:right w:val="none" w:sz="0" w:space="0" w:color="auto"/>
      </w:divBdr>
    </w:div>
    <w:div w:id="20025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Intervention impact on saving children's lives (2013)</a:t>
            </a:r>
          </a:p>
        </c:rich>
      </c:tx>
      <c:layout>
        <c:manualLayout>
          <c:xMode val="edge"/>
          <c:yMode val="edge"/>
          <c:x val="0.18908568305568491"/>
          <c:y val="3.2863849765258239E-2"/>
        </c:manualLayout>
      </c:layout>
      <c:spPr>
        <a:noFill/>
        <a:ln>
          <a:noFill/>
        </a:ln>
        <a:effectLst/>
      </c:spPr>
    </c:title>
    <c:plotArea>
      <c:layout/>
      <c:barChart>
        <c:barDir val="col"/>
        <c:grouping val="clustered"/>
        <c:ser>
          <c:idx val="0"/>
          <c:order val="0"/>
          <c:tx>
            <c:strRef>
              <c:f>Sheet1!$B$1</c:f>
              <c:strCache>
                <c:ptCount val="1"/>
                <c:pt idx="0">
                  <c:v>Nimba County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Sheet1!$A$2:$A$6</c:f>
              <c:strCache>
                <c:ptCount val="5"/>
                <c:pt idx="0">
                  <c:v>ITN/IRS</c:v>
                </c:pt>
                <c:pt idx="1">
                  <c:v>ORS</c:v>
                </c:pt>
                <c:pt idx="2">
                  <c:v>Hand washing</c:v>
                </c:pt>
                <c:pt idx="3">
                  <c:v>Labor and delivery</c:v>
                </c:pt>
                <c:pt idx="4">
                  <c:v>H. influenzae b. vaccine</c:v>
                </c:pt>
              </c:strCache>
            </c:strRef>
          </c:cat>
          <c:val>
            <c:numRef>
              <c:f>Sheet1!$B$2:$B$6</c:f>
              <c:numCache>
                <c:formatCode>General</c:formatCode>
                <c:ptCount val="5"/>
                <c:pt idx="0">
                  <c:v>31</c:v>
                </c:pt>
                <c:pt idx="1">
                  <c:v>21</c:v>
                </c:pt>
                <c:pt idx="2">
                  <c:v>13</c:v>
                </c:pt>
                <c:pt idx="3">
                  <c:v>9</c:v>
                </c:pt>
                <c:pt idx="4">
                  <c:v>0</c:v>
                </c:pt>
              </c:numCache>
            </c:numRef>
          </c:val>
        </c:ser>
        <c:ser>
          <c:idx val="1"/>
          <c:order val="1"/>
          <c:tx>
            <c:strRef>
              <c:f>Sheet1!$C$1</c:f>
              <c:strCache>
                <c:ptCount val="1"/>
                <c:pt idx="0">
                  <c:v>Liberia (National)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Sheet1!$A$2:$A$6</c:f>
              <c:strCache>
                <c:ptCount val="5"/>
                <c:pt idx="0">
                  <c:v>ITN/IRS</c:v>
                </c:pt>
                <c:pt idx="1">
                  <c:v>ORS</c:v>
                </c:pt>
                <c:pt idx="2">
                  <c:v>Hand washing</c:v>
                </c:pt>
                <c:pt idx="3">
                  <c:v>Labor and delivery</c:v>
                </c:pt>
                <c:pt idx="4">
                  <c:v>H. influenzae b. vaccine</c:v>
                </c:pt>
              </c:strCache>
            </c:strRef>
          </c:cat>
          <c:val>
            <c:numRef>
              <c:f>Sheet1!$C$2:$C$6</c:f>
              <c:numCache>
                <c:formatCode>General</c:formatCode>
                <c:ptCount val="5"/>
                <c:pt idx="0">
                  <c:v>14</c:v>
                </c:pt>
                <c:pt idx="1">
                  <c:v>10</c:v>
                </c:pt>
                <c:pt idx="2">
                  <c:v>0</c:v>
                </c:pt>
                <c:pt idx="3">
                  <c:v>20</c:v>
                </c:pt>
                <c:pt idx="4">
                  <c:v>19</c:v>
                </c:pt>
              </c:numCache>
            </c:numRef>
          </c:val>
        </c:ser>
        <c:dLbls>
          <c:showVal val="1"/>
        </c:dLbls>
        <c:gapWidth val="100"/>
        <c:overlap val="-24"/>
        <c:axId val="82992128"/>
        <c:axId val="83611008"/>
      </c:barChart>
      <c:catAx>
        <c:axId val="82992128"/>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3611008"/>
        <c:crosses val="autoZero"/>
        <c:auto val="1"/>
        <c:lblAlgn val="ctr"/>
        <c:lblOffset val="100"/>
      </c:catAx>
      <c:valAx>
        <c:axId val="83611008"/>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Intervention Impact (%)</a:t>
                </a:r>
              </a:p>
            </c:rich>
          </c:tx>
          <c:layout>
            <c:manualLayout>
              <c:xMode val="edge"/>
              <c:yMode val="edge"/>
              <c:x val="4.247233709623343E-2"/>
              <c:y val="0.13948356807511736"/>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99212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Intervention impact on saving maternal lives (2013)</a:t>
            </a:r>
          </a:p>
        </c:rich>
      </c:tx>
      <c:layout/>
      <c:spPr>
        <a:noFill/>
        <a:ln>
          <a:noFill/>
        </a:ln>
        <a:effectLst/>
      </c:spPr>
    </c:title>
    <c:plotArea>
      <c:layout/>
      <c:barChart>
        <c:barDir val="col"/>
        <c:grouping val="clustered"/>
        <c:ser>
          <c:idx val="0"/>
          <c:order val="0"/>
          <c:tx>
            <c:strRef>
              <c:f>Sheet1!$B$1</c:f>
              <c:strCache>
                <c:ptCount val="1"/>
                <c:pt idx="0">
                  <c:v>Nimba County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Sheet1!$A$2:$A$8</c:f>
              <c:strCache>
                <c:ptCount val="7"/>
                <c:pt idx="0">
                  <c:v>Clean birth</c:v>
                </c:pt>
                <c:pt idx="1">
                  <c:v>IPTp</c:v>
                </c:pt>
                <c:pt idx="2">
                  <c:v>Hypertensive disorder care</c:v>
                </c:pt>
                <c:pt idx="3">
                  <c:v>MgSO4 management</c:v>
                </c:pt>
                <c:pt idx="4">
                  <c:v>Labor and delivery</c:v>
                </c:pt>
                <c:pt idx="5">
                  <c:v>Antibiotics for pPRoM</c:v>
                </c:pt>
                <c:pt idx="6">
                  <c:v>AMTSL</c:v>
                </c:pt>
              </c:strCache>
            </c:strRef>
          </c:cat>
          <c:val>
            <c:numRef>
              <c:f>Sheet1!$B$2:$B$8</c:f>
              <c:numCache>
                <c:formatCode>General</c:formatCode>
                <c:ptCount val="7"/>
                <c:pt idx="0">
                  <c:v>78</c:v>
                </c:pt>
                <c:pt idx="1">
                  <c:v>14</c:v>
                </c:pt>
                <c:pt idx="2">
                  <c:v>4</c:v>
                </c:pt>
                <c:pt idx="3">
                  <c:v>4</c:v>
                </c:pt>
                <c:pt idx="4">
                  <c:v>0</c:v>
                </c:pt>
                <c:pt idx="5">
                  <c:v>0</c:v>
                </c:pt>
                <c:pt idx="6">
                  <c:v>0</c:v>
                </c:pt>
              </c:numCache>
            </c:numRef>
          </c:val>
        </c:ser>
        <c:ser>
          <c:idx val="1"/>
          <c:order val="1"/>
          <c:tx>
            <c:strRef>
              <c:f>Sheet1!$C$1</c:f>
              <c:strCache>
                <c:ptCount val="1"/>
                <c:pt idx="0">
                  <c:v>National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Sheet1!$A$2:$A$8</c:f>
              <c:strCache>
                <c:ptCount val="7"/>
                <c:pt idx="0">
                  <c:v>Clean birth</c:v>
                </c:pt>
                <c:pt idx="1">
                  <c:v>IPTp</c:v>
                </c:pt>
                <c:pt idx="2">
                  <c:v>Hypertensive disorder care</c:v>
                </c:pt>
                <c:pt idx="3">
                  <c:v>MgSO4 management</c:v>
                </c:pt>
                <c:pt idx="4">
                  <c:v>Labor and delivery</c:v>
                </c:pt>
                <c:pt idx="5">
                  <c:v>Antibiotics for pPRoM</c:v>
                </c:pt>
                <c:pt idx="6">
                  <c:v>AMTSL</c:v>
                </c:pt>
              </c:strCache>
            </c:strRef>
          </c:cat>
          <c:val>
            <c:numRef>
              <c:f>Sheet1!$C$2:$C$8</c:f>
              <c:numCache>
                <c:formatCode>General</c:formatCode>
                <c:ptCount val="7"/>
                <c:pt idx="0">
                  <c:v>7</c:v>
                </c:pt>
                <c:pt idx="1">
                  <c:v>0</c:v>
                </c:pt>
                <c:pt idx="2">
                  <c:v>0</c:v>
                </c:pt>
                <c:pt idx="3">
                  <c:v>16</c:v>
                </c:pt>
                <c:pt idx="4">
                  <c:v>55</c:v>
                </c:pt>
                <c:pt idx="5">
                  <c:v>5</c:v>
                </c:pt>
                <c:pt idx="6">
                  <c:v>17</c:v>
                </c:pt>
              </c:numCache>
            </c:numRef>
          </c:val>
        </c:ser>
        <c:dLbls>
          <c:showVal val="1"/>
        </c:dLbls>
        <c:gapWidth val="100"/>
        <c:overlap val="-24"/>
        <c:axId val="116173056"/>
        <c:axId val="116191232"/>
      </c:barChart>
      <c:catAx>
        <c:axId val="116173056"/>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6191232"/>
        <c:crosses val="autoZero"/>
        <c:auto val="1"/>
        <c:lblAlgn val="ctr"/>
        <c:lblOffset val="100"/>
      </c:catAx>
      <c:valAx>
        <c:axId val="116191232"/>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Intervention impact (%)</a:t>
                </a:r>
              </a:p>
            </c:rich>
          </c:tx>
          <c:layout>
            <c:manualLayout>
              <c:xMode val="edge"/>
              <c:yMode val="edge"/>
              <c:x val="2.880567250166189E-2"/>
              <c:y val="0.1201133144475920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6173056"/>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Intervention impact on saving children's lives (2013)</a:t>
            </a:r>
          </a:p>
        </c:rich>
      </c:tx>
      <c:layout>
        <c:manualLayout>
          <c:xMode val="edge"/>
          <c:yMode val="edge"/>
          <c:x val="0.18908568305568491"/>
          <c:y val="3.2863849765258239E-2"/>
        </c:manualLayout>
      </c:layout>
      <c:spPr>
        <a:noFill/>
        <a:ln>
          <a:noFill/>
        </a:ln>
        <a:effectLst/>
      </c:spPr>
    </c:title>
    <c:plotArea>
      <c:layout/>
      <c:barChart>
        <c:barDir val="col"/>
        <c:grouping val="clustered"/>
        <c:ser>
          <c:idx val="0"/>
          <c:order val="0"/>
          <c:tx>
            <c:strRef>
              <c:f>Sheet1!$B$1</c:f>
              <c:strCache>
                <c:ptCount val="1"/>
                <c:pt idx="0">
                  <c:v>Nimba County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Sheet1!$A$2:$A$6</c:f>
              <c:strCache>
                <c:ptCount val="5"/>
                <c:pt idx="0">
                  <c:v>ITN/IRS</c:v>
                </c:pt>
                <c:pt idx="1">
                  <c:v>ORS</c:v>
                </c:pt>
                <c:pt idx="2">
                  <c:v>Hand washing</c:v>
                </c:pt>
                <c:pt idx="3">
                  <c:v>Labor and delivery</c:v>
                </c:pt>
                <c:pt idx="4">
                  <c:v>H. influenzae b. vaccine</c:v>
                </c:pt>
              </c:strCache>
            </c:strRef>
          </c:cat>
          <c:val>
            <c:numRef>
              <c:f>Sheet1!$B$2:$B$6</c:f>
              <c:numCache>
                <c:formatCode>General</c:formatCode>
                <c:ptCount val="5"/>
                <c:pt idx="0">
                  <c:v>31</c:v>
                </c:pt>
                <c:pt idx="1">
                  <c:v>21</c:v>
                </c:pt>
                <c:pt idx="2">
                  <c:v>13</c:v>
                </c:pt>
                <c:pt idx="3">
                  <c:v>9</c:v>
                </c:pt>
                <c:pt idx="4">
                  <c:v>0</c:v>
                </c:pt>
              </c:numCache>
            </c:numRef>
          </c:val>
        </c:ser>
        <c:ser>
          <c:idx val="1"/>
          <c:order val="1"/>
          <c:tx>
            <c:strRef>
              <c:f>Sheet1!$C$1</c:f>
              <c:strCache>
                <c:ptCount val="1"/>
                <c:pt idx="0">
                  <c:v>Liberia (National)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Sheet1!$A$2:$A$6</c:f>
              <c:strCache>
                <c:ptCount val="5"/>
                <c:pt idx="0">
                  <c:v>ITN/IRS</c:v>
                </c:pt>
                <c:pt idx="1">
                  <c:v>ORS</c:v>
                </c:pt>
                <c:pt idx="2">
                  <c:v>Hand washing</c:v>
                </c:pt>
                <c:pt idx="3">
                  <c:v>Labor and delivery</c:v>
                </c:pt>
                <c:pt idx="4">
                  <c:v>H. influenzae b. vaccine</c:v>
                </c:pt>
              </c:strCache>
            </c:strRef>
          </c:cat>
          <c:val>
            <c:numRef>
              <c:f>Sheet1!$C$2:$C$6</c:f>
              <c:numCache>
                <c:formatCode>General</c:formatCode>
                <c:ptCount val="5"/>
                <c:pt idx="0">
                  <c:v>14</c:v>
                </c:pt>
                <c:pt idx="1">
                  <c:v>10</c:v>
                </c:pt>
                <c:pt idx="2">
                  <c:v>0</c:v>
                </c:pt>
                <c:pt idx="3">
                  <c:v>20</c:v>
                </c:pt>
                <c:pt idx="4">
                  <c:v>19</c:v>
                </c:pt>
              </c:numCache>
            </c:numRef>
          </c:val>
        </c:ser>
        <c:dLbls>
          <c:showVal val="1"/>
        </c:dLbls>
        <c:gapWidth val="100"/>
        <c:overlap val="-24"/>
        <c:axId val="80808192"/>
        <c:axId val="80813056"/>
      </c:barChart>
      <c:catAx>
        <c:axId val="80808192"/>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813056"/>
        <c:crosses val="autoZero"/>
        <c:auto val="1"/>
        <c:lblAlgn val="ctr"/>
        <c:lblOffset val="100"/>
      </c:catAx>
      <c:valAx>
        <c:axId val="80813056"/>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Intervention Impact (%)</a:t>
                </a:r>
              </a:p>
            </c:rich>
          </c:tx>
          <c:layout>
            <c:manualLayout>
              <c:xMode val="edge"/>
              <c:yMode val="edge"/>
              <c:x val="4.0236950933273757E-2"/>
              <c:y val="0.26154929577464803"/>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80819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Intervention impact on saving maternal lives (2013)</a:t>
            </a:r>
          </a:p>
        </c:rich>
      </c:tx>
      <c:layout/>
      <c:spPr>
        <a:noFill/>
        <a:ln>
          <a:noFill/>
        </a:ln>
        <a:effectLst/>
      </c:spPr>
    </c:title>
    <c:plotArea>
      <c:layout/>
      <c:barChart>
        <c:barDir val="col"/>
        <c:grouping val="clustered"/>
        <c:ser>
          <c:idx val="0"/>
          <c:order val="0"/>
          <c:tx>
            <c:strRef>
              <c:f>Sheet1!$B$1</c:f>
              <c:strCache>
                <c:ptCount val="1"/>
                <c:pt idx="0">
                  <c:v>Nimba County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Sheet1!$A$2:$A$8</c:f>
              <c:strCache>
                <c:ptCount val="7"/>
                <c:pt idx="0">
                  <c:v>Clean birth</c:v>
                </c:pt>
                <c:pt idx="1">
                  <c:v>IPTp</c:v>
                </c:pt>
                <c:pt idx="2">
                  <c:v>Hypertensive disorder care</c:v>
                </c:pt>
                <c:pt idx="3">
                  <c:v>MgSO4 management</c:v>
                </c:pt>
                <c:pt idx="4">
                  <c:v>Labor and delivery</c:v>
                </c:pt>
                <c:pt idx="5">
                  <c:v>Antibiotics for pPRoM</c:v>
                </c:pt>
                <c:pt idx="6">
                  <c:v>AMTSL</c:v>
                </c:pt>
              </c:strCache>
            </c:strRef>
          </c:cat>
          <c:val>
            <c:numRef>
              <c:f>Sheet1!$B$2:$B$8</c:f>
              <c:numCache>
                <c:formatCode>General</c:formatCode>
                <c:ptCount val="7"/>
                <c:pt idx="0">
                  <c:v>78</c:v>
                </c:pt>
                <c:pt idx="1">
                  <c:v>14</c:v>
                </c:pt>
                <c:pt idx="2">
                  <c:v>4</c:v>
                </c:pt>
                <c:pt idx="3">
                  <c:v>4</c:v>
                </c:pt>
                <c:pt idx="4">
                  <c:v>0</c:v>
                </c:pt>
                <c:pt idx="5">
                  <c:v>0</c:v>
                </c:pt>
                <c:pt idx="6">
                  <c:v>0</c:v>
                </c:pt>
              </c:numCache>
            </c:numRef>
          </c:val>
        </c:ser>
        <c:ser>
          <c:idx val="1"/>
          <c:order val="1"/>
          <c:tx>
            <c:strRef>
              <c:f>Sheet1!$C$1</c:f>
              <c:strCache>
                <c:ptCount val="1"/>
                <c:pt idx="0">
                  <c:v>National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Sheet1!$A$2:$A$8</c:f>
              <c:strCache>
                <c:ptCount val="7"/>
                <c:pt idx="0">
                  <c:v>Clean birth</c:v>
                </c:pt>
                <c:pt idx="1">
                  <c:v>IPTp</c:v>
                </c:pt>
                <c:pt idx="2">
                  <c:v>Hypertensive disorder care</c:v>
                </c:pt>
                <c:pt idx="3">
                  <c:v>MgSO4 management</c:v>
                </c:pt>
                <c:pt idx="4">
                  <c:v>Labor and delivery</c:v>
                </c:pt>
                <c:pt idx="5">
                  <c:v>Antibiotics for pPRoM</c:v>
                </c:pt>
                <c:pt idx="6">
                  <c:v>AMTSL</c:v>
                </c:pt>
              </c:strCache>
            </c:strRef>
          </c:cat>
          <c:val>
            <c:numRef>
              <c:f>Sheet1!$C$2:$C$8</c:f>
              <c:numCache>
                <c:formatCode>General</c:formatCode>
                <c:ptCount val="7"/>
                <c:pt idx="0">
                  <c:v>7</c:v>
                </c:pt>
                <c:pt idx="1">
                  <c:v>0</c:v>
                </c:pt>
                <c:pt idx="2">
                  <c:v>0</c:v>
                </c:pt>
                <c:pt idx="3">
                  <c:v>16</c:v>
                </c:pt>
                <c:pt idx="4">
                  <c:v>55</c:v>
                </c:pt>
                <c:pt idx="5">
                  <c:v>5</c:v>
                </c:pt>
                <c:pt idx="6">
                  <c:v>17</c:v>
                </c:pt>
              </c:numCache>
            </c:numRef>
          </c:val>
        </c:ser>
        <c:dLbls>
          <c:showVal val="1"/>
        </c:dLbls>
        <c:gapWidth val="100"/>
        <c:overlap val="-24"/>
        <c:axId val="80870016"/>
        <c:axId val="83456384"/>
      </c:barChart>
      <c:catAx>
        <c:axId val="80870016"/>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3456384"/>
        <c:crosses val="autoZero"/>
        <c:auto val="1"/>
        <c:lblAlgn val="ctr"/>
        <c:lblOffset val="100"/>
      </c:catAx>
      <c:valAx>
        <c:axId val="83456384"/>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Intervention impact (%)</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870016"/>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33A3F70AAB49CEADCD36A35FEEEDA8"/>
        <w:category>
          <w:name w:val="General"/>
          <w:gallery w:val="placeholder"/>
        </w:category>
        <w:types>
          <w:type w:val="bbPlcHdr"/>
        </w:types>
        <w:behaviors>
          <w:behavior w:val="content"/>
        </w:behaviors>
        <w:guid w:val="{3210EFC4-1494-4852-878E-D64C25C1749D}"/>
      </w:docPartPr>
      <w:docPartBody>
        <w:p w:rsidR="007F22E9" w:rsidRDefault="002433E3" w:rsidP="002433E3">
          <w:pPr>
            <w:pStyle w:val="CE33A3F70AAB49CEADCD36A35FEEEDA8"/>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2433E3"/>
    <w:rsid w:val="001F4FB5"/>
    <w:rsid w:val="002433E3"/>
    <w:rsid w:val="00742E9F"/>
    <w:rsid w:val="0076618F"/>
    <w:rsid w:val="007F22E9"/>
    <w:rsid w:val="0098118D"/>
    <w:rsid w:val="00995591"/>
    <w:rsid w:val="00AC200B"/>
    <w:rsid w:val="00E07C7D"/>
    <w:rsid w:val="00EA7F61"/>
    <w:rsid w:val="00ED11FC"/>
    <w:rsid w:val="00F739E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D6509341B41A4824932658BFBE61E">
    <w:name w:val="565D6509341B41A4824932658BFBE61E"/>
    <w:rsid w:val="002433E3"/>
  </w:style>
  <w:style w:type="paragraph" w:customStyle="1" w:styleId="B26CDC8C88AD41AF8AFAFD8123BD7264">
    <w:name w:val="B26CDC8C88AD41AF8AFAFD8123BD7264"/>
    <w:rsid w:val="002433E3"/>
  </w:style>
  <w:style w:type="paragraph" w:customStyle="1" w:styleId="03DE49B7E7E84E0A8738ADF44B13C280">
    <w:name w:val="03DE49B7E7E84E0A8738ADF44B13C280"/>
    <w:rsid w:val="002433E3"/>
  </w:style>
  <w:style w:type="paragraph" w:customStyle="1" w:styleId="5F1DF22401544696A1555C361F674751">
    <w:name w:val="5F1DF22401544696A1555C361F674751"/>
    <w:rsid w:val="002433E3"/>
  </w:style>
  <w:style w:type="paragraph" w:customStyle="1" w:styleId="CE33A3F70AAB49CEADCD36A35FEEEDA8">
    <w:name w:val="CE33A3F70AAB49CEADCD36A35FEEEDA8"/>
    <w:rsid w:val="002433E3"/>
  </w:style>
  <w:style w:type="paragraph" w:customStyle="1" w:styleId="D15CA5E78E324EC8AFD138941C3CEE4B">
    <w:name w:val="D15CA5E78E324EC8AFD138941C3CEE4B"/>
    <w:rsid w:val="002433E3"/>
  </w:style>
  <w:style w:type="character" w:styleId="PlaceholderText">
    <w:name w:val="Placeholder Text"/>
    <w:basedOn w:val="DefaultParagraphFont"/>
    <w:uiPriority w:val="99"/>
    <w:semiHidden/>
    <w:rsid w:val="0099559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AA75C-C66F-41C4-A29F-5E0E4B22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Summary Report of the Nehnwaa Project (2009-2013)</vt:lpstr>
    </vt:vector>
  </TitlesOfParts>
  <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Nehnwaa Project (2009-2013)</dc:title>
  <dc:subject/>
  <dc:creator>cshowalter</dc:creator>
  <cp:keywords/>
  <dc:description/>
  <cp:lastModifiedBy>cshowalter</cp:lastModifiedBy>
  <cp:revision>13</cp:revision>
  <cp:lastPrinted>2016-07-18T17:28:00Z</cp:lastPrinted>
  <dcterms:created xsi:type="dcterms:W3CDTF">2016-07-18T12:12:00Z</dcterms:created>
  <dcterms:modified xsi:type="dcterms:W3CDTF">2016-07-27T20:18:00Z</dcterms:modified>
</cp:coreProperties>
</file>